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3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4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5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6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7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8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9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20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21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22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3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A6" w:rsidRPr="00A72A13" w:rsidRDefault="00A949A6" w:rsidP="00E878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7E2BFD" w:rsidRPr="00A72A13" w:rsidRDefault="007E2BFD" w:rsidP="00E878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>Activitatea Curții de Apel Cahul</w:t>
      </w:r>
      <w:r w:rsidR="00E8782C"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</w:t>
      </w:r>
      <w:r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anul </w:t>
      </w:r>
      <w:r w:rsidR="00904333"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>2022</w:t>
      </w:r>
    </w:p>
    <w:p w:rsidR="009B2D24" w:rsidRPr="00A72A13" w:rsidRDefault="009B2D24" w:rsidP="007977ED">
      <w:pPr>
        <w:spacing w:after="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lang w:val="ro-MD"/>
        </w:rPr>
      </w:pPr>
    </w:p>
    <w:p w:rsidR="00365950" w:rsidRPr="00A72A13" w:rsidRDefault="00365950" w:rsidP="00A22E0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Curtea de Apel Cahul este o verigă a sistemului judiciar al Republicii Moldova, a fost formată în rezultatul reorganizării sistemului Judecătoresc în baza Legii nr. 191-XV  din 08 mai 2003.</w:t>
      </w:r>
    </w:p>
    <w:p w:rsidR="00365950" w:rsidRPr="00A72A13" w:rsidRDefault="00365950" w:rsidP="00A22E03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MD"/>
        </w:rPr>
      </w:pPr>
      <w:r w:rsidRPr="00A72A13">
        <w:rPr>
          <w:sz w:val="28"/>
          <w:szCs w:val="28"/>
          <w:lang w:val="ro-MD"/>
        </w:rPr>
        <w:t>Conform prevederilor normelor procesuale Curtea de Apel Cahul este o instanță ierarhic superioară, care își exercită competența într-o circumscripție, care cuprinde: Judecătoria Cahul sediul Central, sediile secundare: Cantemir, Taraclia.</w:t>
      </w:r>
    </w:p>
    <w:p w:rsidR="00BF397E" w:rsidRPr="00A72A13" w:rsidRDefault="00365950" w:rsidP="00A22E03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ro-MD"/>
        </w:rPr>
      </w:pPr>
      <w:r w:rsidRPr="00A72A13">
        <w:rPr>
          <w:sz w:val="28"/>
          <w:szCs w:val="28"/>
          <w:lang w:val="ro-MD"/>
        </w:rPr>
        <w:t>Ca instanță ierarhic superioară, Curtea de Apel Cahul este abilitată prin Lege de a verifica legalitatea și temeinicia hotărârilor instanțelor ierarhi</w:t>
      </w:r>
      <w:r w:rsidR="00A47652" w:rsidRPr="00A72A13">
        <w:rPr>
          <w:sz w:val="28"/>
          <w:szCs w:val="28"/>
          <w:lang w:val="ro-MD"/>
        </w:rPr>
        <w:t>c inferioare și</w:t>
      </w:r>
      <w:r w:rsidR="00F33CB8" w:rsidRPr="00A72A13">
        <w:rPr>
          <w:sz w:val="28"/>
          <w:szCs w:val="28"/>
          <w:lang w:val="ro-MD"/>
        </w:rPr>
        <w:t xml:space="preserve"> exercită alte atribuții, conform legii. </w:t>
      </w:r>
    </w:p>
    <w:p w:rsidR="006A420B" w:rsidRPr="00A72A13" w:rsidRDefault="006A420B" w:rsidP="00A22E0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În anul 2022 Curtea de Apel Cahul a desfășurat activitatea, realizând înfăptuirea actului de justiție prin obiectivele sale stabilite în planurile de activitate și în planurile de acțiuni.</w:t>
      </w:r>
    </w:p>
    <w:p w:rsidR="006A420B" w:rsidRPr="00A72A13" w:rsidRDefault="00A65FA2" w:rsidP="00A65FA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>În cadrul Curții de Apel Cahul activează 51,5 unități de personal. Efectiv au activat 4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4,50 unități ce constituie 86,40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% din numărul unităților aprobate. Rata asistenți judiciari și grefieri per judecător este de 2,50 unități, personalul non-judiciar se prezintă cu  1,99 % unități, rata angajați per judecător ne indică 4,49 %.</w:t>
      </w:r>
    </w:p>
    <w:p w:rsidR="006A420B" w:rsidRPr="00A72A13" w:rsidRDefault="00A65FA2" w:rsidP="00A65FA2">
      <w:pPr>
        <w:spacing w:after="0" w:line="276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Conform statului de personal  Curtea de Apel Cahul dispune de 9 funcții de judecător. Conform Echivalentului Normă Întreagă (ENI) în total au activat în perioada de referință - 7,08 judecători, care au activat în trei complete mixte. Totodată judecătorii au activat și în complete de judecată specializate: pentru judecarea cauzelor în care sunt implicați minori; pentru soluționarea cauzelor în procedura de insolvabilitate; pentru soluționarea litigiilor de contencios administrativ. </w:t>
      </w:r>
    </w:p>
    <w:p w:rsidR="006A420B" w:rsidRPr="00A72A13" w:rsidRDefault="00A65FA2" w:rsidP="00A65FA2">
      <w:pPr>
        <w:spacing w:after="0" w:line="276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>Reieșind din faptul că pe parcursul anului 2022 doi judecători au demisionat din funcție sarcina per judecător a crescut, ca rezultat a crescut și termenul examinării cauzelor, însă Curtea de Apel Cahul a depus toate eforturile necesare în vederea obținerii unor rezultate mai bune.</w:t>
      </w:r>
    </w:p>
    <w:p w:rsidR="006A420B" w:rsidRPr="00A72A13" w:rsidRDefault="006A420B" w:rsidP="00A22E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În perioada de raportare au fost încetate raporturile de serviciu cu 6 persoane, totodată au fost reîncadrați în funcție 2 p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ersoane, suspendați din funcție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3 persoane. În perioada de raportare în vederea suplinirii funcțiilor publice au fost organizate concursuri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pentru 5 funcții de execuție (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grefier, 2 funcții de specialist superior, specialist principal și personal tehnic 4 persoane). În cadrul procedurii de evaluare a performanțelor au fost evaluați 27 funcționari publici, apreciați cu calificativul ,, foarte bine,,. Proceduri disciplinare nu au fost înregistrate în perioada resp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ectivă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6A420B" w:rsidRPr="00A72A13" w:rsidRDefault="00A65FA2" w:rsidP="00A65FA2">
      <w:pPr>
        <w:pStyle w:val="a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>Judecători, asistenți judiciari, grefieri, șefii secțiilor, specialiști pe parcursul perioadei de raportare în scopul de instruire continuă au participat la seminare organizate de Institutul Național de Justiț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ie, Ministerul Justiției și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organizații internaționale cu prezența fizică și în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lastRenderedPageBreak/>
        <w:t>regim on-line.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Curtea de Apel Cahul a asigurat participarea angajaților la instruirea externă dar și internă.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6A420B" w:rsidRPr="00A72A13" w:rsidRDefault="006A420B" w:rsidP="00A22E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instanță sunt amenajate trei săli de judecată în care se desfășoară toate ședințele de judecată numite, acestea sunt dotate cu sisteme de înregistrare audio „SRS Femida”, 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>iar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o sală este dotată cu sistem de teleconferință. </w:t>
      </w:r>
    </w:p>
    <w:p w:rsidR="006A420B" w:rsidRPr="00A72A13" w:rsidRDefault="006A420B" w:rsidP="00A22E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Pe parcursul anului 2022 la Curtea de Apel Cahul au fost planificate conform PI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GD –</w:t>
      </w:r>
      <w:r w:rsidR="000736D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3923 ședințe de judecată</w:t>
      </w:r>
      <w:r w:rsidR="000736D7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2644F" w:rsidRPr="00A72A13">
        <w:rPr>
          <w:rFonts w:ascii="Times New Roman" w:hAnsi="Times New Roman" w:cs="Times New Roman"/>
          <w:sz w:val="28"/>
          <w:szCs w:val="28"/>
          <w:lang w:val="ro-MD"/>
        </w:rPr>
        <w:t>au avut</w:t>
      </w:r>
      <w:r w:rsidR="000736D7">
        <w:rPr>
          <w:rFonts w:ascii="Times New Roman" w:hAnsi="Times New Roman" w:cs="Times New Roman"/>
          <w:sz w:val="28"/>
          <w:szCs w:val="28"/>
          <w:lang w:val="ro-MD"/>
        </w:rPr>
        <w:t xml:space="preserve"> loc 3169 (80,78%),</w:t>
      </w:r>
      <w:r w:rsidR="00D264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nregistrate audio 1396 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D2644F" w:rsidRPr="00A72A13">
        <w:rPr>
          <w:rFonts w:ascii="Times New Roman" w:hAnsi="Times New Roman" w:cs="Times New Roman"/>
          <w:sz w:val="28"/>
          <w:szCs w:val="28"/>
          <w:lang w:val="ro-MD"/>
        </w:rPr>
        <w:t>44,05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%),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înregistrate cu „SRS Femida” 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1390 (99,57%) 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reportofon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6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(0,43%)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Din numărul total de ședințe de judecată </w:t>
      </w:r>
      <w:r w:rsidR="00BD0BA7">
        <w:rPr>
          <w:rFonts w:ascii="Times New Roman" w:hAnsi="Times New Roman" w:cs="Times New Roman"/>
          <w:sz w:val="28"/>
          <w:szCs w:val="28"/>
          <w:lang w:val="ro-MD"/>
        </w:rPr>
        <w:t>înregistrate</w:t>
      </w:r>
      <w:r w:rsidR="00D4274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245</w:t>
      </w:r>
      <w:r w:rsidR="003862E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BD0BA7">
        <w:rPr>
          <w:rFonts w:ascii="Times New Roman" w:hAnsi="Times New Roman" w:cs="Times New Roman"/>
          <w:sz w:val="28"/>
          <w:szCs w:val="28"/>
          <w:lang w:val="ro-MD"/>
        </w:rPr>
        <w:t>17,55</w:t>
      </w:r>
      <w:r w:rsidR="00D42746"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)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au fost desfășurate </w:t>
      </w:r>
      <w:r w:rsidR="00D42746" w:rsidRPr="00A72A13">
        <w:rPr>
          <w:rFonts w:ascii="Times New Roman" w:hAnsi="Times New Roman" w:cs="Times New Roman"/>
          <w:sz w:val="28"/>
          <w:szCs w:val="28"/>
          <w:lang w:val="ro-MD"/>
        </w:rPr>
        <w:t>cu utilizarea sistemului de teleconferință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 </w:t>
      </w:r>
    </w:p>
    <w:p w:rsidR="006A420B" w:rsidRPr="00A22E03" w:rsidRDefault="00A65FA2" w:rsidP="00A65FA2">
      <w:pPr>
        <w:spacing w:after="0" w:line="276" w:lineRule="auto"/>
        <w:ind w:right="4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        </w:t>
      </w:r>
      <w:r w:rsidR="00DF194E" w:rsidRPr="00A72A13">
        <w:rPr>
          <w:rFonts w:ascii="Times New Roman" w:hAnsi="Times New Roman"/>
          <w:sz w:val="28"/>
          <w:szCs w:val="28"/>
          <w:lang w:val="ro-MD"/>
        </w:rPr>
        <w:t>P</w:t>
      </w:r>
      <w:r w:rsidR="00D42746" w:rsidRPr="00A72A13">
        <w:rPr>
          <w:rFonts w:ascii="Times New Roman" w:hAnsi="Times New Roman"/>
          <w:sz w:val="28"/>
          <w:szCs w:val="28"/>
          <w:lang w:val="ro-MD"/>
        </w:rPr>
        <w:t xml:space="preserve">entru participanții la proces care nu cunosc limba de procedură </w:t>
      </w:r>
      <w:r w:rsidR="00DF194E" w:rsidRPr="00A72A13">
        <w:rPr>
          <w:rFonts w:ascii="Times New Roman" w:hAnsi="Times New Roman"/>
          <w:sz w:val="28"/>
          <w:szCs w:val="28"/>
          <w:lang w:val="ro-MD"/>
        </w:rPr>
        <w:t xml:space="preserve">a fost asigurată prezența </w:t>
      </w:r>
      <w:r w:rsidR="00D42746" w:rsidRPr="00A72A13">
        <w:rPr>
          <w:rFonts w:ascii="Times New Roman" w:hAnsi="Times New Roman"/>
          <w:sz w:val="28"/>
          <w:szCs w:val="28"/>
          <w:lang w:val="ro-MD"/>
        </w:rPr>
        <w:t>traducător</w:t>
      </w:r>
      <w:r w:rsidR="00DF194E" w:rsidRPr="00A72A13">
        <w:rPr>
          <w:rFonts w:ascii="Times New Roman" w:hAnsi="Times New Roman"/>
          <w:sz w:val="28"/>
          <w:szCs w:val="28"/>
          <w:lang w:val="ro-MD"/>
        </w:rPr>
        <w:t xml:space="preserve">ilor din serviciul translare, </w:t>
      </w:r>
      <w:r w:rsidR="00A72A13" w:rsidRPr="00A72A13">
        <w:rPr>
          <w:rFonts w:ascii="Times New Roman" w:hAnsi="Times New Roman"/>
          <w:sz w:val="28"/>
          <w:szCs w:val="28"/>
          <w:lang w:val="ro-MD"/>
        </w:rPr>
        <w:t>aceștia</w:t>
      </w:r>
      <w:r w:rsidR="00DF194E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72A13" w:rsidRPr="00A72A13">
        <w:rPr>
          <w:rFonts w:ascii="Times New Roman" w:hAnsi="Times New Roman"/>
          <w:sz w:val="28"/>
          <w:szCs w:val="28"/>
          <w:lang w:val="ro-MD"/>
        </w:rPr>
        <w:t>participând</w:t>
      </w:r>
      <w:r w:rsidR="00DF194E" w:rsidRPr="00A72A13">
        <w:rPr>
          <w:rFonts w:ascii="Times New Roman" w:hAnsi="Times New Roman"/>
          <w:sz w:val="28"/>
          <w:szCs w:val="28"/>
          <w:lang w:val="ro-MD"/>
        </w:rPr>
        <w:t xml:space="preserve"> la </w:t>
      </w:r>
      <w:r w:rsidR="00D42746" w:rsidRPr="00A72A13">
        <w:rPr>
          <w:rFonts w:ascii="Times New Roman" w:hAnsi="Times New Roman"/>
          <w:sz w:val="28"/>
          <w:szCs w:val="28"/>
          <w:lang w:val="ro-MD"/>
        </w:rPr>
        <w:t>764 (35,08%)</w:t>
      </w:r>
      <w:r w:rsidR="006A420B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>ș</w:t>
      </w:r>
      <w:r w:rsidR="00D42746" w:rsidRPr="00A72A13">
        <w:rPr>
          <w:rFonts w:ascii="Times New Roman" w:hAnsi="Times New Roman" w:cs="Times New Roman"/>
          <w:sz w:val="28"/>
          <w:szCs w:val="28"/>
          <w:lang w:val="ro-MD"/>
        </w:rPr>
        <w:t>edințe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judecată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6A42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totodată </w:t>
      </w:r>
      <w:r w:rsidR="00A72A13" w:rsidRPr="00A72A13">
        <w:rPr>
          <w:rFonts w:ascii="Times New Roman" w:hAnsi="Times New Roman" w:cs="Times New Roman"/>
          <w:sz w:val="28"/>
          <w:szCs w:val="28"/>
          <w:lang w:val="ro-MD"/>
        </w:rPr>
        <w:t>asigurând</w:t>
      </w:r>
      <w:r w:rsidR="00DF194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D42746" w:rsidRPr="00A72A13">
        <w:rPr>
          <w:rFonts w:ascii="Times New Roman" w:hAnsi="Times New Roman" w:cs="Times New Roman"/>
          <w:sz w:val="28"/>
          <w:szCs w:val="28"/>
          <w:lang w:val="ro-MD"/>
        </w:rPr>
        <w:t>traducerea scrisă pentru 242 acte judecătorești</w:t>
      </w:r>
      <w:r w:rsidR="00E731C6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2E2E6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Pe parcursul anului 2022 au mai fost prestate servicii de traducere în limba turcă în baza de contract cu traducători autorizați pentru participare în ședințe de judecată și traducere a deciziei </w:t>
      </w:r>
      <w:r w:rsidR="00FF1CA4" w:rsidRPr="00A72A13">
        <w:rPr>
          <w:rFonts w:ascii="Times New Roman" w:hAnsi="Times New Roman" w:cs="Times New Roman"/>
          <w:sz w:val="28"/>
          <w:szCs w:val="28"/>
          <w:lang w:val="ro-MD"/>
        </w:rPr>
        <w:t>din limba turcă</w:t>
      </w:r>
      <w:r w:rsidR="002E2E6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suma </w:t>
      </w:r>
      <w:r w:rsidR="002E2E69" w:rsidRPr="00A22E03">
        <w:rPr>
          <w:rFonts w:ascii="Times New Roman" w:hAnsi="Times New Roman" w:cs="Times New Roman"/>
          <w:sz w:val="28"/>
          <w:szCs w:val="28"/>
          <w:lang w:val="ro-MD"/>
        </w:rPr>
        <w:t>contracte</w:t>
      </w:r>
      <w:r w:rsidR="00FF1CA4" w:rsidRPr="00A22E03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2E2E69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or constituind 7873,00 lei. </w:t>
      </w:r>
    </w:p>
    <w:p w:rsidR="00E16ABC" w:rsidRPr="00A22E03" w:rsidRDefault="00A65FA2" w:rsidP="00A65FA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>În vederea sporirii gradului de transparență și a încrederii în justiție, î</w:t>
      </w:r>
      <w:r w:rsidR="00E16ABC" w:rsidRPr="00A22E03">
        <w:rPr>
          <w:rFonts w:ascii="Times New Roman" w:eastAsiaTheme="minorEastAsia" w:hAnsi="Times New Roman" w:cs="Times New Roman"/>
          <w:sz w:val="28"/>
          <w:szCs w:val="28"/>
          <w:lang w:val="ro-MD" w:bidi="en-US"/>
        </w:rPr>
        <w:t xml:space="preserve">n perioada anului 2022 Curtea de Apel Cahul 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>a realizat mai multe activități stabilite în programul de dezvoltare strategică a instanței pentru anii 2022-2025 și în planul de activitate pentru anul 2022.</w:t>
      </w:r>
    </w:p>
    <w:p w:rsidR="00E16ABC" w:rsidRPr="00A22E03" w:rsidRDefault="00A65FA2" w:rsidP="00A65FA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În contextul bunelor practici, vizavi de realizările în anul 2022 menționăm, petrecerea </w:t>
      </w:r>
      <w:r w:rsidR="00E16ABC" w:rsidRPr="00A22E03">
        <w:rPr>
          <w:rFonts w:ascii="Times New Roman" w:eastAsiaTheme="minorEastAsia" w:hAnsi="Times New Roman" w:cs="Times New Roman"/>
          <w:sz w:val="28"/>
          <w:szCs w:val="28"/>
          <w:lang w:val="ro-MD" w:bidi="en-US"/>
        </w:rPr>
        <w:t>sondaje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E16ABC" w:rsidRPr="00A22E03">
        <w:rPr>
          <w:rFonts w:ascii="Times New Roman" w:eastAsiaTheme="minorEastAsia" w:hAnsi="Times New Roman" w:cs="Times New Roman"/>
          <w:sz w:val="28"/>
          <w:szCs w:val="28"/>
          <w:lang w:val="ro-MD" w:bidi="en-US"/>
        </w:rPr>
        <w:t xml:space="preserve"> pentru evaluarea gradului de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satisfacție al justițiabililor și nivelul de angajament al personalului, ziua ușilor deschise organizată cu prilejul Zilei Europene</w:t>
      </w:r>
      <w:r w:rsidR="006779FB">
        <w:rPr>
          <w:rFonts w:ascii="Times New Roman" w:hAnsi="Times New Roman" w:cs="Times New Roman"/>
          <w:sz w:val="28"/>
          <w:szCs w:val="28"/>
          <w:lang w:val="ro-MD"/>
        </w:rPr>
        <w:t xml:space="preserve"> a Justiției Civile și crearea C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>entrului de informare. Sondajele petrecut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în anul 2022 au inclus și elemente noi, la dispoziția justițiabililor au fost oferite la dorință chestionare pe suport de hîrtie dar și în format electronic.</w:t>
      </w:r>
    </w:p>
    <w:p w:rsidR="00E16ABC" w:rsidRPr="00A22E03" w:rsidRDefault="00A65FA2" w:rsidP="00A65FA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Potrivit rezultatelor sondajului, nivelul general de satisfacție a calității serviciilor Curții de Apel Cahul </w:t>
      </w:r>
      <w:r w:rsidR="00F215DB">
        <w:rPr>
          <w:rFonts w:ascii="Times New Roman" w:hAnsi="Times New Roman" w:cs="Times New Roman"/>
          <w:sz w:val="28"/>
          <w:szCs w:val="28"/>
          <w:lang w:val="ro-MD"/>
        </w:rPr>
        <w:t>este apreciat</w:t>
      </w:r>
      <w:r w:rsidR="00E16ABC"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înalt, ce se confirmă prin ponderea indicată de respondenți la nivel de 67% pentru nivelul de profesionalism.</w:t>
      </w:r>
    </w:p>
    <w:p w:rsidR="00E16ABC" w:rsidRPr="005870F4" w:rsidRDefault="00A65FA2" w:rsidP="00A65FA2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       </w:t>
      </w:r>
      <w:r w:rsidR="00E16ABC" w:rsidRPr="00587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Rezultatele sondajelor stau la baza elaborării planului de acțiuni pentru îmbunătățirea aspectelor problematice identificate de către respondenți.</w:t>
      </w:r>
    </w:p>
    <w:p w:rsidR="00E16ABC" w:rsidRPr="00A22E03" w:rsidRDefault="00A22E03" w:rsidP="00A65FA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22E03">
        <w:rPr>
          <w:rFonts w:ascii="Times New Roman" w:hAnsi="Times New Roman" w:cs="Times New Roman"/>
          <w:sz w:val="28"/>
          <w:szCs w:val="28"/>
          <w:lang w:val="ro-MD"/>
        </w:rPr>
        <w:t>Cu prilejul celebrării Zilei Europene a Justiției Civile  Curtea de Apel Cahul </w:t>
      </w:r>
      <w:r w:rsidR="006779FB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MD"/>
        </w:rPr>
        <w:t>organiz</w:t>
      </w:r>
      <w:r w:rsidR="006779FB">
        <w:rPr>
          <w:rFonts w:ascii="Times New Roman" w:hAnsi="Times New Roman" w:cs="Times New Roman"/>
          <w:sz w:val="28"/>
          <w:szCs w:val="28"/>
          <w:lang w:val="ro-MD"/>
        </w:rPr>
        <w:t>at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Ziua Ușilor Deschise.  Scopul </w:t>
      </w:r>
      <w:r w:rsidR="005870F4">
        <w:rPr>
          <w:rFonts w:ascii="Times New Roman" w:hAnsi="Times New Roman" w:cs="Times New Roman"/>
          <w:sz w:val="28"/>
          <w:szCs w:val="28"/>
          <w:lang w:val="ro-MD"/>
        </w:rPr>
        <w:t>acestui eveniment fiind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apropierea justiției civile de cetățeni, precum și extinderea sferei de înțelegere a actului de justiție, de a aduce la cunoștință specificul activității instanței, condițiile de muncă a angajaților instanței de judecată și tehnologiile moderne electronice - comunicaționale, utilizate în procedura judiciară. </w:t>
      </w:r>
      <w:r w:rsidRPr="00A22E03">
        <w:rPr>
          <w:rFonts w:ascii="Times New Roman" w:hAnsi="Times New Roman" w:cs="Times New Roman"/>
          <w:b/>
          <w:bCs/>
          <w:i/>
          <w:iCs/>
          <w:sz w:val="28"/>
          <w:szCs w:val="28"/>
          <w:lang w:val="ro-MD"/>
        </w:rPr>
        <w:t> 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Cu această ocazie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în acest an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Curtea de Apel Cahul a fost vizitată de către studenții colegiului Industrial-Pedagogic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lastRenderedPageBreak/>
        <w:t>„I. Hașdeu” și a Facultății de Drept și Administrație Publică al Universității de Stat „B. P. Hașdeu”</w:t>
      </w:r>
      <w:r w:rsidR="00F215DB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A22E03" w:rsidRPr="00A22E03" w:rsidRDefault="00A22E03" w:rsidP="00A22E0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6779FB">
        <w:rPr>
          <w:rFonts w:ascii="Times New Roman" w:hAnsi="Times New Roman" w:cs="Times New Roman"/>
          <w:sz w:val="28"/>
          <w:szCs w:val="28"/>
          <w:lang w:val="ro-MD"/>
        </w:rPr>
        <w:t>anul 2022 a fost  instituit și C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>entrul de informare în cadrul Curții de Apel Cahul</w:t>
      </w:r>
      <w:r w:rsidR="00F215DB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A22E0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o-MD"/>
        </w:rPr>
        <w:t xml:space="preserve">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>Importanța Centrului  de informare este apreciată îndeosebi prin faptul că la Centru activează specialiști  instruiți în acest sens, iar justițiabi</w:t>
      </w:r>
      <w:r w:rsidR="00D8625B">
        <w:rPr>
          <w:rFonts w:ascii="Times New Roman" w:hAnsi="Times New Roman" w:cs="Times New Roman"/>
          <w:sz w:val="28"/>
          <w:szCs w:val="28"/>
          <w:lang w:val="ro-MD"/>
        </w:rPr>
        <w:t>li primesc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informația necesară în termeni restrânși sau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sunt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îndruma</w:t>
      </w:r>
      <w:r>
        <w:rPr>
          <w:rFonts w:ascii="Times New Roman" w:hAnsi="Times New Roman" w:cs="Times New Roman"/>
          <w:sz w:val="28"/>
          <w:szCs w:val="28"/>
          <w:lang w:val="ro-MD"/>
        </w:rPr>
        <w:t>ți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 în caz de necesitate către subdiviziunile responsabile.</w:t>
      </w:r>
      <w:r w:rsidR="00D8625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 xml:space="preserve">Totodată, Secția evidență și documentare procesuală (cancelaria) nu </w:t>
      </w:r>
      <w:r>
        <w:rPr>
          <w:rFonts w:ascii="Times New Roman" w:hAnsi="Times New Roman" w:cs="Times New Roman"/>
          <w:sz w:val="28"/>
          <w:szCs w:val="28"/>
          <w:lang w:val="ro-MD"/>
        </w:rPr>
        <w:t>mai e</w:t>
      </w:r>
      <w:r w:rsidRPr="00A22E03">
        <w:rPr>
          <w:rFonts w:ascii="Times New Roman" w:hAnsi="Times New Roman" w:cs="Times New Roman"/>
          <w:sz w:val="28"/>
          <w:szCs w:val="28"/>
          <w:lang w:val="ro-MD"/>
        </w:rPr>
        <w:t>ste atît de aglomerată, iar specialiștii acestei subdiviziuni sunt mai puțin sustrași pe parcursul zilei de vizitele justițiabililor, aceștea reușind să realizeze  procesele lor de lucru efectiv și calitativ.</w:t>
      </w:r>
    </w:p>
    <w:p w:rsidR="006A420B" w:rsidRPr="00A72A13" w:rsidRDefault="008978CA" w:rsidP="00A22E03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Raportul care este prezentat pentru perioada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de raportare 12 luni anului 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cuprinde analiza datelor statistice cu privire la activitatea Curții de Apel </w:t>
      </w:r>
      <w:r w:rsidR="00AB65C9" w:rsidRPr="00A72A13">
        <w:rPr>
          <w:rFonts w:ascii="Times New Roman" w:hAnsi="Times New Roman" w:cs="Times New Roman"/>
          <w:sz w:val="28"/>
          <w:szCs w:val="28"/>
          <w:lang w:val="ro-MD"/>
        </w:rPr>
        <w:t>privind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înfăptuirea justiției.</w:t>
      </w:r>
      <w:r w:rsidR="0020481A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La analiza statisticii judiciare au fost utilizați indicatorii de performanță recomandați de CEPEJ</w:t>
      </w:r>
      <w:r w:rsidR="00AB65C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care </w:t>
      </w:r>
      <w:r w:rsidR="00C2311D" w:rsidRPr="00A72A13">
        <w:rPr>
          <w:rFonts w:ascii="Times New Roman" w:hAnsi="Times New Roman" w:cs="Times New Roman"/>
          <w:sz w:val="28"/>
          <w:szCs w:val="28"/>
          <w:lang w:val="ro-MD"/>
        </w:rPr>
        <w:t>servesc la îmbunătățirea gestionării timpului judiciar și a calității justiției ca serviciu public.</w:t>
      </w:r>
    </w:p>
    <w:p w:rsidR="00EF2F2D" w:rsidRPr="00A72A13" w:rsidRDefault="00EF2F2D" w:rsidP="00EF2F2D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Datele statistice analizate privind activitatea instanței în perioada anului 2022 au fost selectate din rapoartele generate din PIGD. </w:t>
      </w:r>
    </w:p>
    <w:p w:rsidR="00A949A6" w:rsidRPr="00A72A13" w:rsidRDefault="00A949A6" w:rsidP="00D24B44">
      <w:pPr>
        <w:pStyle w:val="a4"/>
        <w:rPr>
          <w:rFonts w:ascii="Times New Roman" w:hAnsi="Times New Roman" w:cs="Times New Roman"/>
          <w:lang w:val="ro-MD"/>
        </w:rPr>
      </w:pPr>
    </w:p>
    <w:p w:rsidR="00A949A6" w:rsidRPr="00A72A13" w:rsidRDefault="00A949A6" w:rsidP="00BF397E">
      <w:pPr>
        <w:pStyle w:val="a4"/>
        <w:jc w:val="center"/>
        <w:rPr>
          <w:rFonts w:ascii="Times New Roman" w:hAnsi="Times New Roman" w:cs="Times New Roman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147A6B" w:rsidRPr="00A72A13" w:rsidRDefault="00147A6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0736D7">
      <w:pPr>
        <w:pStyle w:val="a4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6A420B" w:rsidRPr="00A72A13" w:rsidRDefault="006A420B" w:rsidP="00BF397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lang w:val="ro-MD"/>
        </w:rPr>
      </w:pPr>
    </w:p>
    <w:p w:rsidR="00BF397E" w:rsidRPr="00A72A13" w:rsidRDefault="00BF397E" w:rsidP="00BF397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VOLUMUL DE ACTIVITATE A CURȚII DE APEL CAHUL</w:t>
      </w:r>
    </w:p>
    <w:p w:rsidR="00BF397E" w:rsidRPr="00A72A13" w:rsidRDefault="00BF397E" w:rsidP="00BF397E">
      <w:pPr>
        <w:pStyle w:val="a9"/>
        <w:tabs>
          <w:tab w:val="left" w:pos="567"/>
        </w:tabs>
        <w:spacing w:after="0" w:line="240" w:lineRule="auto"/>
        <w:ind w:left="0" w:right="567" w:firstLine="567"/>
        <w:jc w:val="center"/>
        <w:rPr>
          <w:rFonts w:ascii="Times New Roman"/>
          <w:b/>
          <w:color w:val="00B050"/>
          <w:sz w:val="28"/>
          <w:szCs w:val="28"/>
          <w:lang w:val="ro-MD"/>
        </w:rPr>
      </w:pPr>
      <w:r w:rsidRPr="00A72A13">
        <w:rPr>
          <w:rFonts w:ascii="Times New Roman"/>
          <w:b/>
          <w:sz w:val="28"/>
          <w:szCs w:val="28"/>
          <w:lang w:val="ro-MD"/>
        </w:rPr>
        <w:t>Indicatori cantitativi</w:t>
      </w:r>
    </w:p>
    <w:p w:rsidR="00BF397E" w:rsidRPr="00A72A13" w:rsidRDefault="00BF397E" w:rsidP="00BF397E">
      <w:pPr>
        <w:pStyle w:val="a9"/>
        <w:tabs>
          <w:tab w:val="left" w:pos="567"/>
        </w:tabs>
        <w:spacing w:after="0" w:line="240" w:lineRule="auto"/>
        <w:ind w:left="0" w:right="567" w:firstLine="567"/>
        <w:jc w:val="both"/>
        <w:rPr>
          <w:rFonts w:ascii="Times New Roman"/>
          <w:b/>
          <w:color w:val="00B050"/>
          <w:sz w:val="28"/>
          <w:szCs w:val="28"/>
          <w:lang w:val="ro-MD"/>
        </w:rPr>
      </w:pPr>
    </w:p>
    <w:p w:rsidR="00BF397E" w:rsidRPr="00A72A13" w:rsidRDefault="00BF397E" w:rsidP="00A949A6">
      <w:pPr>
        <w:pStyle w:val="a9"/>
        <w:tabs>
          <w:tab w:val="left" w:pos="567"/>
        </w:tabs>
        <w:spacing w:after="0" w:line="276" w:lineRule="auto"/>
        <w:ind w:left="0" w:right="-2" w:firstLine="567"/>
        <w:jc w:val="both"/>
        <w:rPr>
          <w:rFonts w:ascii="Times New Roman"/>
          <w:sz w:val="28"/>
          <w:szCs w:val="28"/>
          <w:lang w:val="ro-MD"/>
        </w:rPr>
      </w:pPr>
      <w:r w:rsidRPr="00A72A13">
        <w:rPr>
          <w:rFonts w:ascii="Times New Roman"/>
          <w:sz w:val="28"/>
          <w:szCs w:val="28"/>
          <w:lang w:val="ro-MD"/>
        </w:rPr>
        <w:t xml:space="preserve">În perioada anului </w:t>
      </w:r>
      <w:r w:rsidR="00904333" w:rsidRPr="00A72A13">
        <w:rPr>
          <w:rFonts w:ascii="Times New Roman"/>
          <w:sz w:val="28"/>
          <w:szCs w:val="28"/>
          <w:lang w:val="ro-MD"/>
        </w:rPr>
        <w:t>2022</w:t>
      </w:r>
      <w:r w:rsidRPr="00A72A13">
        <w:rPr>
          <w:rFonts w:ascii="Times New Roman"/>
          <w:sz w:val="28"/>
          <w:szCs w:val="28"/>
          <w:lang w:val="ro-MD"/>
        </w:rPr>
        <w:t xml:space="preserve"> la Curtea de Apel Cahul </w:t>
      </w:r>
      <w:r w:rsidRPr="00A72A13">
        <w:rPr>
          <w:rFonts w:ascii="Times New Roman"/>
          <w:b/>
          <w:sz w:val="28"/>
          <w:szCs w:val="28"/>
          <w:lang w:val="ro-MD"/>
        </w:rPr>
        <w:t>s-au aflat în procedură în total</w:t>
      </w:r>
      <w:r w:rsidRPr="00A72A13">
        <w:rPr>
          <w:rFonts w:ascii="Times New Roman"/>
          <w:sz w:val="28"/>
          <w:szCs w:val="28"/>
          <w:lang w:val="ro-MD"/>
        </w:rPr>
        <w:t xml:space="preserve"> </w:t>
      </w:r>
      <w:r w:rsidR="008F499A" w:rsidRPr="00A72A13">
        <w:rPr>
          <w:rFonts w:ascii="Times New Roman"/>
          <w:b/>
          <w:sz w:val="28"/>
          <w:szCs w:val="28"/>
          <w:lang w:val="ro-MD"/>
        </w:rPr>
        <w:t>2667</w:t>
      </w:r>
      <w:r w:rsidRPr="00A72A13">
        <w:rPr>
          <w:rFonts w:ascii="Times New Roman"/>
          <w:b/>
          <w:sz w:val="28"/>
          <w:szCs w:val="28"/>
          <w:lang w:val="ro-MD"/>
        </w:rPr>
        <w:t xml:space="preserve"> cauze. </w:t>
      </w:r>
    </w:p>
    <w:p w:rsidR="00BC4775" w:rsidRPr="00A72A13" w:rsidRDefault="00BF397E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Din numărul total de cauze aflate în procedură - </w:t>
      </w:r>
      <w:r w:rsidR="008F499A" w:rsidRPr="00A72A13">
        <w:rPr>
          <w:rFonts w:ascii="Times New Roman" w:hAnsi="Times New Roman" w:cs="Times New Roman"/>
          <w:b/>
          <w:sz w:val="28"/>
          <w:szCs w:val="28"/>
          <w:lang w:val="ro-MD"/>
        </w:rPr>
        <w:t>335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sunt cele pendinte la începutul perioadei raportate și </w:t>
      </w:r>
      <w:r w:rsidR="008F499A" w:rsidRPr="00A72A13">
        <w:rPr>
          <w:rFonts w:ascii="Times New Roman" w:hAnsi="Times New Roman" w:cs="Times New Roman"/>
          <w:b/>
          <w:sz w:val="28"/>
          <w:szCs w:val="28"/>
          <w:lang w:val="ro-MD"/>
        </w:rPr>
        <w:t>2332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 noi înregistrate. </w:t>
      </w:r>
    </w:p>
    <w:p w:rsidR="00BF397E" w:rsidRPr="00A72A13" w:rsidRDefault="00BF397E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Din totalul cauzelor aflate în procedură au fost 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soluționate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–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7D1FD1" w:rsidRPr="00A72A13">
        <w:rPr>
          <w:rFonts w:ascii="Times New Roman" w:hAnsi="Times New Roman" w:cs="Times New Roman"/>
          <w:b/>
          <w:sz w:val="28"/>
          <w:szCs w:val="28"/>
          <w:lang w:val="ro-MD"/>
        </w:rPr>
        <w:t>2091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BF397E" w:rsidRPr="00A72A13" w:rsidRDefault="00BF397E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Numărul cauzelor pendinte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la sfârșitul perioadei raportate constituie </w:t>
      </w:r>
      <w:r w:rsidR="008F499A" w:rsidRPr="00A72A13">
        <w:rPr>
          <w:rFonts w:ascii="Times New Roman" w:hAnsi="Times New Roman" w:cs="Times New Roman"/>
          <w:b/>
          <w:sz w:val="28"/>
          <w:szCs w:val="28"/>
          <w:lang w:val="ro-MD"/>
        </w:rPr>
        <w:t>576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cauze.</w:t>
      </w:r>
    </w:p>
    <w:p w:rsidR="00BF397E" w:rsidRPr="00A72A13" w:rsidRDefault="00BF397E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Rata de variație a stocului de cauze pendinte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(raportul dintre cauzele soluționate în perioada raportată și cele noi înregistrate în perioada raportată, exprimat în procente)  constituie </w:t>
      </w:r>
      <w:r w:rsidR="00FA58E4" w:rsidRPr="00A72A13">
        <w:rPr>
          <w:rFonts w:ascii="Times New Roman" w:hAnsi="Times New Roman" w:cs="Times New Roman"/>
          <w:b/>
          <w:sz w:val="28"/>
          <w:szCs w:val="28"/>
          <w:lang w:val="ro-MD"/>
        </w:rPr>
        <w:t>89,7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%. </w:t>
      </w:r>
    </w:p>
    <w:p w:rsidR="00204B96" w:rsidRPr="00A72A13" w:rsidRDefault="00BF397E" w:rsidP="00A949A6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Durata lichidării stocului de cauze pendinte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(numărul cauzelor nesoluționate la sfârșitul perioadei raportate împărțit la numărul cauzelor soluționate în aceeași perioadă și înmulțit la numărul de zile a perioadei raportate, exprimat în zile) constituie </w:t>
      </w:r>
      <w:r w:rsidR="008F499A" w:rsidRPr="00A72A13">
        <w:rPr>
          <w:rFonts w:ascii="Times New Roman" w:hAnsi="Times New Roman" w:cs="Times New Roman"/>
          <w:b/>
          <w:sz w:val="28"/>
          <w:szCs w:val="28"/>
          <w:lang w:val="ro-MD"/>
        </w:rPr>
        <w:t>101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de zile. </w:t>
      </w:r>
    </w:p>
    <w:p w:rsidR="00204B96" w:rsidRPr="00A72A13" w:rsidRDefault="00204B96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Numărul de cauze aflate în procedură per judecător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anul 2022 constituie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377 cauze.</w:t>
      </w:r>
    </w:p>
    <w:p w:rsidR="00BF397E" w:rsidRPr="00A72A13" w:rsidRDefault="00BF397E" w:rsidP="00A949A6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Numărul de cauze examinate </w:t>
      </w:r>
      <w:r w:rsidR="00204B96" w:rsidRPr="00A72A13">
        <w:rPr>
          <w:rFonts w:ascii="Times New Roman" w:hAnsi="Times New Roman" w:cs="Times New Roman"/>
          <w:b/>
          <w:sz w:val="28"/>
          <w:szCs w:val="28"/>
          <w:lang w:val="ro-MD"/>
        </w:rPr>
        <w:t>per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judecător</w:t>
      </w:r>
      <w:r w:rsidR="00204B9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553FE" w:rsidRPr="00A72A13">
        <w:rPr>
          <w:rFonts w:ascii="Times New Roman" w:hAnsi="Times New Roman" w:cs="Times New Roman"/>
          <w:sz w:val="28"/>
          <w:szCs w:val="28"/>
          <w:lang w:val="ro-MD"/>
        </w:rPr>
        <w:t>este de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FA58E4"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295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cauze. </w:t>
      </w:r>
    </w:p>
    <w:p w:rsidR="00BF397E" w:rsidRPr="00A72A13" w:rsidRDefault="00BF397E" w:rsidP="00A949A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Datele detaliate privind volumul de activi</w:t>
      </w:r>
      <w:r w:rsidR="00BC477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tate pentru perioada anului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 Curții de Apel Cahul sunt reflectate în tabelul de mai jos.</w:t>
      </w:r>
    </w:p>
    <w:p w:rsidR="00367F0A" w:rsidRPr="00A72A13" w:rsidRDefault="00367F0A" w:rsidP="00953E3D">
      <w:pPr>
        <w:pStyle w:val="a4"/>
        <w:spacing w:line="360" w:lineRule="auto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D64900" w:rsidRPr="00A72A13" w:rsidRDefault="00953E3D" w:rsidP="00953E3D">
      <w:pPr>
        <w:pStyle w:val="a4"/>
        <w:spacing w:line="360" w:lineRule="auto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Tabelul nr.</w:t>
      </w:r>
      <w:r w:rsidR="008C0F5F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1</w:t>
      </w:r>
      <w:r w:rsidR="008305A7" w:rsidRPr="00A72A13">
        <w:rPr>
          <w:rFonts w:ascii="Times New Roman" w:eastAsiaTheme="minorEastAsia" w:hAnsi="Times New Roman" w:cs="Times New Roman"/>
          <w:bCs/>
          <w:i/>
          <w:kern w:val="24"/>
          <w:sz w:val="20"/>
          <w:szCs w:val="20"/>
          <w:lang w:val="ro-MD"/>
        </w:rPr>
        <w:t xml:space="preserve"> </w:t>
      </w:r>
      <w:r w:rsidR="008305A7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Evoluția încărcăturii instanței </w:t>
      </w:r>
      <w:r w:rsidR="0014580C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între anii 2020 - 2022</w:t>
      </w:r>
    </w:p>
    <w:p w:rsidR="004A09F4" w:rsidRPr="00A72A13" w:rsidRDefault="00C135F2" w:rsidP="009B2D24">
      <w:pPr>
        <w:pStyle w:val="a4"/>
        <w:spacing w:line="360" w:lineRule="auto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bCs/>
          <w:i/>
          <w:noProof/>
          <w:sz w:val="20"/>
          <w:szCs w:val="20"/>
        </w:rPr>
        <w:drawing>
          <wp:inline distT="0" distB="0" distL="0" distR="0">
            <wp:extent cx="6766560" cy="3371353"/>
            <wp:effectExtent l="0" t="0" r="15240" b="6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D24" w:rsidRPr="00A72A13" w:rsidRDefault="009B2D24" w:rsidP="009538A2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DC3236" w:rsidRPr="00A72A13" w:rsidRDefault="00953E3D" w:rsidP="00A949A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perioada </w:t>
      </w:r>
      <w:r w:rsidR="00F40EA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anului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449F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la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Curtea de Apel Cahul </w:t>
      </w:r>
      <w:r w:rsidR="00B449FD" w:rsidRPr="00A72A13">
        <w:rPr>
          <w:rFonts w:ascii="Times New Roman" w:hAnsi="Times New Roman" w:cs="Times New Roman"/>
          <w:sz w:val="28"/>
          <w:szCs w:val="28"/>
          <w:lang w:val="ro-MD"/>
        </w:rPr>
        <w:t>s-</w:t>
      </w:r>
      <w:r w:rsidR="001A5DC4" w:rsidRPr="00A72A13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 w:rsidR="00B449FD" w:rsidRPr="00A72A13">
        <w:rPr>
          <w:rFonts w:ascii="Times New Roman" w:hAnsi="Times New Roman" w:cs="Times New Roman"/>
          <w:b/>
          <w:sz w:val="28"/>
          <w:szCs w:val="28"/>
          <w:lang w:val="ro-MD"/>
        </w:rPr>
        <w:t>u</w:t>
      </w:r>
      <w:r w:rsidR="001A5DC4"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B449FD" w:rsidRPr="00A72A13">
        <w:rPr>
          <w:rFonts w:ascii="Times New Roman" w:hAnsi="Times New Roman" w:cs="Times New Roman"/>
          <w:b/>
          <w:sz w:val="28"/>
          <w:szCs w:val="28"/>
          <w:lang w:val="ro-MD"/>
        </w:rPr>
        <w:t>aflat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 procedură </w:t>
      </w:r>
      <w:r w:rsidR="008F499A" w:rsidRPr="00A72A13">
        <w:rPr>
          <w:rFonts w:ascii="Times New Roman" w:hAnsi="Times New Roman" w:cs="Times New Roman"/>
          <w:b/>
          <w:sz w:val="28"/>
          <w:szCs w:val="28"/>
          <w:lang w:val="ro-MD"/>
        </w:rPr>
        <w:t>2667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comparativ</w:t>
      </w:r>
      <w:r w:rsidR="00F40EA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acest indice </w:t>
      </w:r>
      <w:r w:rsidR="001A5D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se prezintă </w:t>
      </w:r>
      <w:r w:rsidR="00C97A5B" w:rsidRPr="00A72A13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="00F40EA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 </w:t>
      </w:r>
      <w:r w:rsidR="008305A7" w:rsidRPr="00A72A13">
        <w:rPr>
          <w:rFonts w:ascii="Times New Roman" w:hAnsi="Times New Roman" w:cs="Times New Roman"/>
          <w:sz w:val="28"/>
          <w:szCs w:val="28"/>
          <w:lang w:val="ro-MD"/>
        </w:rPr>
        <w:t>creștere</w:t>
      </w:r>
      <w:r w:rsidR="00F40EA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257A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r w:rsidR="002315D3" w:rsidRPr="00A72A13">
        <w:rPr>
          <w:rFonts w:ascii="Times New Roman" w:hAnsi="Times New Roman" w:cs="Times New Roman"/>
          <w:sz w:val="28"/>
          <w:szCs w:val="28"/>
          <w:lang w:val="ro-MD"/>
        </w:rPr>
        <w:t>22</w:t>
      </w:r>
      <w:r w:rsidR="005A2241"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2315D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</w:t>
      </w:r>
      <w:r w:rsidR="005A2241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an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ul 2020</w:t>
      </w:r>
      <w:r w:rsidR="0037512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</w:t>
      </w:r>
      <w:r w:rsidR="008F499A" w:rsidRPr="00A72A13">
        <w:rPr>
          <w:rFonts w:ascii="Times New Roman" w:hAnsi="Times New Roman" w:cs="Times New Roman"/>
          <w:sz w:val="28"/>
          <w:szCs w:val="28"/>
          <w:lang w:val="ro-MD"/>
        </w:rPr>
        <w:t>10</w:t>
      </w:r>
      <w:r w:rsidR="005A2241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="005257A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</w:t>
      </w:r>
      <w:r w:rsidR="00A07655" w:rsidRPr="00A72A13">
        <w:rPr>
          <w:rFonts w:ascii="Times New Roman" w:hAnsi="Times New Roman" w:cs="Times New Roman"/>
          <w:sz w:val="28"/>
          <w:szCs w:val="28"/>
          <w:lang w:val="ro-MD"/>
        </w:rPr>
        <w:t>ță</w:t>
      </w:r>
      <w:r w:rsidR="005257A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anul 20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21</w:t>
      </w:r>
      <w:r w:rsidR="00E8734D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9D17EC" w:rsidRPr="00A72A13" w:rsidRDefault="001A5DC4" w:rsidP="00A949A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Tot în această perioadă Curtea de Apel Cahul a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soluționat un număr de </w:t>
      </w:r>
      <w:r w:rsidR="00E344FA"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2091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</w:t>
      </w:r>
      <w:r w:rsidR="00FA58E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comparativ în creșt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ere față de anul 2020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F6277E" w:rsidRPr="00A72A13">
        <w:rPr>
          <w:rFonts w:ascii="Times New Roman" w:hAnsi="Times New Roman" w:cs="Times New Roman"/>
          <w:sz w:val="28"/>
          <w:szCs w:val="28"/>
          <w:lang w:val="ro-MD"/>
        </w:rPr>
        <w:t>13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% și cu 1,</w:t>
      </w:r>
      <w:r w:rsidR="00D553FE" w:rsidRPr="00A72A13"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% față de anul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A949A6" w:rsidRPr="00A72A13" w:rsidRDefault="009D17EC" w:rsidP="00B449F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Respectiv </w:t>
      </w:r>
      <w:r w:rsidR="003F362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odată ce dosarele aflate în procedură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="003F362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sunt în creștere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restanța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344FA" w:rsidRPr="00A72A13">
        <w:rPr>
          <w:rFonts w:ascii="Times New Roman" w:hAnsi="Times New Roman" w:cs="Times New Roman"/>
          <w:sz w:val="28"/>
          <w:szCs w:val="28"/>
          <w:lang w:val="ro-MD"/>
        </w:rPr>
        <w:t>de asemenea</w:t>
      </w:r>
      <w:r w:rsidR="003F362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este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în creștere în comparație cu</w:t>
      </w:r>
      <w:r w:rsidR="002315D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indicii din anii 2020 și 2021</w:t>
      </w:r>
      <w:r w:rsidR="00A07655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949A6" w:rsidRPr="00A72A13" w:rsidRDefault="00025F28" w:rsidP="00025F28">
      <w:pPr>
        <w:tabs>
          <w:tab w:val="left" w:pos="3570"/>
        </w:tabs>
        <w:ind w:right="819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ab/>
      </w:r>
    </w:p>
    <w:p w:rsidR="00C76E83" w:rsidRPr="00A72A13" w:rsidRDefault="00E71F4E" w:rsidP="009B2D24">
      <w:pPr>
        <w:ind w:right="819"/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 xml:space="preserve"> </w:t>
      </w:r>
      <w:r w:rsidR="00C76E83" w:rsidRPr="00A72A13">
        <w:rPr>
          <w:rFonts w:ascii="Times New Roman" w:hAnsi="Times New Roman" w:cs="Times New Roman"/>
          <w:b/>
          <w:lang w:val="ro-MD"/>
        </w:rPr>
        <w:t>PONDEREA CAUZELOR AFLATE ÎN PROCEDURĂ</w:t>
      </w:r>
    </w:p>
    <w:p w:rsidR="00C76E83" w:rsidRPr="00A72A13" w:rsidRDefault="00C76E83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A72A13">
        <w:rPr>
          <w:rFonts w:ascii="Times New Roman" w:hAnsi="Times New Roman" w:cs="Times New Roman"/>
          <w:b/>
          <w:bCs/>
          <w:lang w:val="ro-MD"/>
        </w:rPr>
        <w:t>RESTANȚĂ LA ÎNCEPUTUL PERIOADEI DE RAPORTARE</w:t>
      </w:r>
    </w:p>
    <w:p w:rsidR="00E71F4E" w:rsidRPr="00A72A13" w:rsidRDefault="00E71F4E" w:rsidP="009B2D24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:rsidR="003F362D" w:rsidRPr="00A72A13" w:rsidRDefault="003F362D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2: 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Rata cauzelor aflate în resta</w:t>
      </w:r>
      <w:r w:rsidR="00FA58E4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nță la începutul perioadei, anilor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 w:rsidR="00FA58E4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2020- 2022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2907"/>
        <w:gridCol w:w="1107"/>
        <w:gridCol w:w="1107"/>
        <w:gridCol w:w="1107"/>
        <w:gridCol w:w="1107"/>
        <w:gridCol w:w="1107"/>
        <w:gridCol w:w="1107"/>
      </w:tblGrid>
      <w:tr w:rsidR="00FA58E4" w:rsidRPr="00A72A13" w:rsidTr="009538A2">
        <w:trPr>
          <w:trHeight w:val="49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E4" w:rsidRPr="00A72A13" w:rsidRDefault="00FA58E4" w:rsidP="00FA58E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Tipul de cauze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E4" w:rsidRPr="00A72A13" w:rsidRDefault="00FA58E4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2022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1. Total cauze civile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 xml:space="preserve">2. Total cauze comerciale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3. Total cauze insolvabilitate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4. Total cauze de contencios administrativ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5. Total cauze penale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58%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6. Total cauze contravenționale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11%</w:t>
            </w:r>
          </w:p>
        </w:tc>
      </w:tr>
      <w:tr w:rsidR="008F499A" w:rsidRPr="00A72A13" w:rsidTr="009538A2">
        <w:trPr>
          <w:trHeight w:val="498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18"/>
                <w:szCs w:val="18"/>
                <w:lang w:val="ro-MD"/>
              </w:rPr>
              <w:t>Totalul calculat de cauze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208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335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99A" w:rsidRPr="00A72A13" w:rsidRDefault="008F499A" w:rsidP="008F49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</w:tr>
    </w:tbl>
    <w:p w:rsidR="002315D3" w:rsidRPr="00A72A13" w:rsidRDefault="002315D3" w:rsidP="003F362D">
      <w:pPr>
        <w:ind w:right="819"/>
        <w:rPr>
          <w:rFonts w:ascii="Times New Roman" w:hAnsi="Times New Roman" w:cs="Times New Roman"/>
          <w:i/>
          <w:sz w:val="18"/>
          <w:szCs w:val="18"/>
          <w:lang w:val="ro-MD"/>
        </w:rPr>
      </w:pPr>
    </w:p>
    <w:p w:rsidR="000D47D4" w:rsidRPr="00A72A13" w:rsidRDefault="00C76E83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 w:rsidR="00FC0330" w:rsidRPr="00A72A13">
        <w:rPr>
          <w:rFonts w:ascii="Times New Roman" w:hAnsi="Times New Roman" w:cs="Times New Roman"/>
          <w:i/>
          <w:sz w:val="18"/>
          <w:szCs w:val="18"/>
          <w:lang w:val="ro-MD"/>
        </w:rPr>
        <w:t>3</w:t>
      </w: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 w:rsidR="00714578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Volumul de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 aflate în restanță la începutul perioadei</w:t>
      </w:r>
      <w:r w:rsidR="00E27494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 w:rsidR="00714578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de referință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, anii </w:t>
      </w:r>
      <w:r w:rsidR="00FA58E4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2020 - 2022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</w:p>
    <w:p w:rsidR="00932DDF" w:rsidRPr="00A72A13" w:rsidRDefault="00932DDF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50C9A04" wp14:editId="0F7D5B1B">
            <wp:extent cx="6090458" cy="2754284"/>
            <wp:effectExtent l="0" t="0" r="5715" b="8255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2DDF" w:rsidRPr="00A72A13" w:rsidRDefault="00932DDF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932DDF" w:rsidRPr="00A72A13" w:rsidRDefault="00932DDF" w:rsidP="00A949A6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Volumul 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 xml:space="preserve">de </w:t>
      </w:r>
      <w:r w:rsidR="00714578" w:rsidRPr="00A72A13">
        <w:rPr>
          <w:rFonts w:ascii="Times New Roman" w:hAnsi="Times New Roman"/>
          <w:b/>
          <w:sz w:val="28"/>
          <w:szCs w:val="28"/>
          <w:lang w:val="ro-MD"/>
        </w:rPr>
        <w:t>cauze aflate în restanță la începutul perioadei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>de raportare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 xml:space="preserve">la Curtea de Apel Cahul </w:t>
      </w:r>
      <w:r w:rsidR="00D80A9A" w:rsidRPr="00A72A13">
        <w:rPr>
          <w:rFonts w:ascii="Times New Roman" w:hAnsi="Times New Roman"/>
          <w:b/>
          <w:sz w:val="28"/>
          <w:szCs w:val="28"/>
          <w:lang w:val="ro-MD"/>
        </w:rPr>
        <w:t xml:space="preserve">constituie </w:t>
      </w:r>
      <w:r w:rsidR="00480242" w:rsidRPr="00A72A13">
        <w:rPr>
          <w:rFonts w:ascii="Times New Roman" w:hAnsi="Times New Roman"/>
          <w:b/>
          <w:sz w:val="28"/>
          <w:szCs w:val="28"/>
          <w:lang w:val="ro-MD"/>
        </w:rPr>
        <w:t>335</w:t>
      </w:r>
      <w:r w:rsidR="00D80A9A" w:rsidRPr="00A72A13">
        <w:rPr>
          <w:rFonts w:ascii="Times New Roman" w:hAnsi="Times New Roman"/>
          <w:b/>
          <w:sz w:val="28"/>
          <w:szCs w:val="28"/>
          <w:lang w:val="ro-MD"/>
        </w:rPr>
        <w:t xml:space="preserve"> cauze 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>din totalul cauzelor aflate pe rol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 xml:space="preserve"> - </w:t>
      </w:r>
      <w:r w:rsidR="00480242" w:rsidRPr="00A72A13">
        <w:rPr>
          <w:rFonts w:ascii="Times New Roman"/>
          <w:b/>
          <w:sz w:val="28"/>
          <w:szCs w:val="28"/>
          <w:lang w:val="ro-MD"/>
        </w:rPr>
        <w:t>2667</w:t>
      </w:r>
      <w:r w:rsidR="00D80A9A" w:rsidRPr="00A72A13">
        <w:rPr>
          <w:rFonts w:ascii="Times New Roman"/>
          <w:b/>
          <w:sz w:val="28"/>
          <w:szCs w:val="28"/>
          <w:lang w:val="ro-MD"/>
        </w:rPr>
        <w:t xml:space="preserve"> cauze</w:t>
      </w:r>
      <w:r w:rsidR="00714578" w:rsidRPr="00A72A13">
        <w:rPr>
          <w:rFonts w:ascii="Times New Roman" w:hAnsi="Times New Roman"/>
          <w:sz w:val="28"/>
          <w:szCs w:val="28"/>
          <w:lang w:val="ro-MD"/>
        </w:rPr>
        <w:t>.</w:t>
      </w:r>
    </w:p>
    <w:p w:rsidR="000F3CAB" w:rsidRPr="00A72A13" w:rsidRDefault="00932DDF" w:rsidP="00455ED5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Comparativ acest indice este în creștere cu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 xml:space="preserve">127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cauze sau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>38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% mai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>mare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față de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 xml:space="preserve">anul </w:t>
      </w:r>
      <w:r w:rsidRPr="00A72A13">
        <w:rPr>
          <w:rFonts w:ascii="Times New Roman" w:hAnsi="Times New Roman"/>
          <w:sz w:val="28"/>
          <w:szCs w:val="28"/>
          <w:lang w:val="ro-MD"/>
        </w:rPr>
        <w:t>20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>20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și cu 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>70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cauze sau</w:t>
      </w:r>
      <w:r w:rsidR="00024B3F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 xml:space="preserve">21% mai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>mare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 xml:space="preserve"> față de </w:t>
      </w:r>
      <w:r w:rsidR="00480242" w:rsidRPr="00A72A13">
        <w:rPr>
          <w:rFonts w:ascii="Times New Roman" w:hAnsi="Times New Roman"/>
          <w:sz w:val="28"/>
          <w:szCs w:val="28"/>
          <w:lang w:val="ro-MD"/>
        </w:rPr>
        <w:t xml:space="preserve">anul </w:t>
      </w:r>
      <w:r w:rsidR="00D80A9A" w:rsidRPr="00A72A13">
        <w:rPr>
          <w:rFonts w:ascii="Times New Roman" w:hAnsi="Times New Roman"/>
          <w:sz w:val="28"/>
          <w:szCs w:val="28"/>
          <w:lang w:val="ro-MD"/>
        </w:rPr>
        <w:t>2021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B449FD" w:rsidRPr="00A72A13" w:rsidRDefault="00B449FD" w:rsidP="00455ED5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</w:p>
    <w:p w:rsidR="00714578" w:rsidRPr="00A72A13" w:rsidRDefault="00714578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 w:rsidR="00FC0330" w:rsidRPr="00A72A13">
        <w:rPr>
          <w:rFonts w:ascii="Times New Roman" w:hAnsi="Times New Roman" w:cs="Times New Roman"/>
          <w:i/>
          <w:sz w:val="18"/>
          <w:szCs w:val="18"/>
          <w:lang w:val="ro-MD"/>
        </w:rPr>
        <w:t>4</w:t>
      </w: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Rata cauzelor aflate în restanță la începutul perioadei de referință,</w:t>
      </w:r>
      <w:r w:rsidR="008E103D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per categorii  anul </w:t>
      </w:r>
      <w:r w:rsidR="00904333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2022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</w:p>
    <w:p w:rsidR="000D47D4" w:rsidRPr="00A72A13" w:rsidRDefault="00714578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noProof/>
          <w:lang w:eastAsia="ru-RU"/>
        </w:rPr>
        <w:drawing>
          <wp:inline distT="0" distB="0" distL="0" distR="0" wp14:anchorId="3EBBB9E9" wp14:editId="42D7E39B">
            <wp:extent cx="6877050" cy="24574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FC4" w:rsidRPr="00A72A13" w:rsidRDefault="00E27494" w:rsidP="00A949A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cauzelor pendinte la începutul perioadei de raportare per categorii de cauze 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se prezintă </w:t>
      </w:r>
      <w:r w:rsidR="00D0710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pentru </w:t>
      </w:r>
      <w:r w:rsidR="00D07106"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cauzele penale</w:t>
      </w:r>
      <w:r w:rsidR="003D30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>58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="003D30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comparativ 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acest indice este </w:t>
      </w:r>
      <w:r w:rsidR="008E103D" w:rsidRPr="00A72A13">
        <w:rPr>
          <w:rFonts w:ascii="Times New Roman" w:hAnsi="Times New Roman" w:cs="Times New Roman"/>
          <w:sz w:val="28"/>
          <w:szCs w:val="28"/>
          <w:lang w:val="ro-MD"/>
        </w:rPr>
        <w:t>mai mare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11% față de anul 2020 și cu 4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>% față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anul 2021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</w:t>
      </w:r>
      <w:r w:rsidR="00D0710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pentru cauzele </w:t>
      </w:r>
      <w:r w:rsidR="007C0FC4" w:rsidRPr="00A72A13">
        <w:rPr>
          <w:rFonts w:ascii="Times New Roman" w:hAnsi="Times New Roman" w:cs="Times New Roman"/>
          <w:b/>
          <w:sz w:val="28"/>
          <w:szCs w:val="28"/>
          <w:lang w:val="ro-MD"/>
        </w:rPr>
        <w:t>contravenționale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11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comparativ în 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>descreștere cu 3% față de anul 2020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8E103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mai 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8E103D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>faț</w:t>
      </w:r>
      <w:r w:rsidR="005F4706" w:rsidRPr="00A72A13">
        <w:rPr>
          <w:rFonts w:ascii="Times New Roman" w:hAnsi="Times New Roman" w:cs="Times New Roman"/>
          <w:sz w:val="28"/>
          <w:szCs w:val="28"/>
          <w:lang w:val="ro-MD"/>
        </w:rPr>
        <w:t>ă de anul 2021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pentru cauzele </w:t>
      </w:r>
      <w:r w:rsidR="008E103D" w:rsidRPr="00A72A13">
        <w:rPr>
          <w:rFonts w:ascii="Times New Roman" w:hAnsi="Times New Roman" w:cs="Times New Roman"/>
          <w:b/>
          <w:sz w:val="28"/>
          <w:szCs w:val="28"/>
          <w:lang w:val="ro-MD"/>
        </w:rPr>
        <w:t>civile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7C0FC4" w:rsidRPr="00A72A13">
        <w:rPr>
          <w:rFonts w:ascii="Times New Roman" w:hAnsi="Times New Roman" w:cs="Times New Roman"/>
          <w:b/>
          <w:sz w:val="28"/>
          <w:szCs w:val="28"/>
          <w:lang w:val="ro-MD"/>
        </w:rPr>
        <w:t>comer</w:t>
      </w:r>
      <w:r w:rsidR="008E103D" w:rsidRPr="00A72A13">
        <w:rPr>
          <w:rFonts w:ascii="Times New Roman" w:hAnsi="Times New Roman" w:cs="Times New Roman"/>
          <w:b/>
          <w:sz w:val="28"/>
          <w:szCs w:val="28"/>
          <w:lang w:val="ro-MD"/>
        </w:rPr>
        <w:t>ciale, contencios administrativ</w:t>
      </w:r>
      <w:r w:rsidR="007C0FC4" w:rsidRPr="00A72A13">
        <w:rPr>
          <w:rFonts w:ascii="Times New Roman" w:hAnsi="Times New Roman" w:cs="Times New Roman"/>
          <w:b/>
          <w:sz w:val="28"/>
          <w:szCs w:val="28"/>
          <w:lang w:val="ro-MD"/>
        </w:rPr>
        <w:t>, insolvabilitate</w:t>
      </w:r>
      <w:r w:rsidR="00480242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avem un indice de 31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>% comparativ mai mic c</w:t>
      </w:r>
      <w:r w:rsidR="00A4797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u </w:t>
      </w:r>
      <w:r w:rsidR="00172FE9" w:rsidRPr="00A72A13">
        <w:rPr>
          <w:rFonts w:ascii="Times New Roman" w:hAnsi="Times New Roman" w:cs="Times New Roman"/>
          <w:sz w:val="28"/>
          <w:szCs w:val="28"/>
          <w:lang w:val="ro-MD"/>
        </w:rPr>
        <w:t>8% față de anul 2020 și cu 6</w:t>
      </w:r>
      <w:r w:rsidR="00A4797F" w:rsidRPr="00A72A13">
        <w:rPr>
          <w:rFonts w:ascii="Times New Roman" w:hAnsi="Times New Roman" w:cs="Times New Roman"/>
          <w:sz w:val="28"/>
          <w:szCs w:val="28"/>
          <w:lang w:val="ro-MD"/>
        </w:rPr>
        <w:t>% față de anul 2021</w:t>
      </w:r>
      <w:r w:rsidR="007C0FC4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C76E83" w:rsidRPr="00A72A13" w:rsidRDefault="00C76E83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E71F4E" w:rsidRPr="00A72A13" w:rsidRDefault="009538A2" w:rsidP="00B449FD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A72A13">
        <w:rPr>
          <w:rFonts w:ascii="Times New Roman" w:hAnsi="Times New Roman" w:cs="Times New Roman"/>
          <w:b/>
          <w:bCs/>
          <w:lang w:val="ro-MD"/>
        </w:rPr>
        <w:t>CAUZE NOI ÎNREGISTRATE ÎN</w:t>
      </w:r>
      <w:r w:rsidR="00B449FD" w:rsidRPr="00A72A13">
        <w:rPr>
          <w:rFonts w:ascii="Times New Roman" w:hAnsi="Times New Roman" w:cs="Times New Roman"/>
          <w:b/>
          <w:bCs/>
          <w:lang w:val="ro-MD"/>
        </w:rPr>
        <w:t xml:space="preserve"> PERIOADA DE RAPORTARE</w:t>
      </w:r>
    </w:p>
    <w:p w:rsidR="009538A2" w:rsidRPr="00A72A13" w:rsidRDefault="009538A2" w:rsidP="00B521E6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 w:rsidRPr="00A72A13">
        <w:rPr>
          <w:rFonts w:ascii="Times New Roman" w:hAnsi="Times New Roman" w:cs="Times New Roman"/>
          <w:i/>
          <w:sz w:val="20"/>
          <w:szCs w:val="20"/>
          <w:lang w:val="ro-MD"/>
        </w:rPr>
        <w:t>5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cauzelor noi  înregistrate, anii </w:t>
      </w:r>
      <w:r w:rsidR="00AF56A3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2020 - 2022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</w:p>
    <w:p w:rsidR="00AF56A3" w:rsidRPr="00A72A13" w:rsidRDefault="00AF56A3" w:rsidP="00B521E6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tbl>
      <w:tblPr>
        <w:tblW w:w="10279" w:type="dxa"/>
        <w:tblInd w:w="113" w:type="dxa"/>
        <w:tblLook w:val="04A0" w:firstRow="1" w:lastRow="0" w:firstColumn="1" w:lastColumn="0" w:noHBand="0" w:noVBand="1"/>
      </w:tblPr>
      <w:tblGrid>
        <w:gridCol w:w="3143"/>
        <w:gridCol w:w="992"/>
        <w:gridCol w:w="1134"/>
        <w:gridCol w:w="1134"/>
        <w:gridCol w:w="1276"/>
        <w:gridCol w:w="1275"/>
        <w:gridCol w:w="1325"/>
      </w:tblGrid>
      <w:tr w:rsidR="00AF56A3" w:rsidRPr="00A72A13" w:rsidTr="00A72A13">
        <w:trPr>
          <w:trHeight w:val="1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A3" w:rsidRPr="00A72A13" w:rsidRDefault="00AF56A3" w:rsidP="00AF56A3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A3" w:rsidRPr="00A72A13" w:rsidRDefault="00AF56A3" w:rsidP="00AF56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2022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1. Total cauze civile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2. Total cauze comerciale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3. Total cauze insolvabilitate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4. Total cauze de contencios administrativ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5. Total cauze penale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58%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58%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6. Total cauze contravenționale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14%</w:t>
            </w:r>
          </w:p>
        </w:tc>
      </w:tr>
      <w:tr w:rsidR="00172FE9" w:rsidRPr="00A72A13" w:rsidTr="00A72A13">
        <w:trPr>
          <w:trHeight w:val="1"/>
        </w:trPr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eastAsia="Times New Roman" w:hAnsi="Times New Roman" w:cs="Times New Roman"/>
                <w:b/>
                <w:lang w:val="ro-MD"/>
              </w:rPr>
              <w:t>Totalul calculat de cauze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1 875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2 332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</w:tr>
    </w:tbl>
    <w:p w:rsidR="00991732" w:rsidRPr="00A72A13" w:rsidRDefault="00991732" w:rsidP="003F362D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</w:p>
    <w:p w:rsidR="00B521E6" w:rsidRPr="00A72A13" w:rsidRDefault="00B521E6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</w:t>
      </w:r>
      <w:r w:rsidR="00FC0330" w:rsidRPr="00A72A13">
        <w:rPr>
          <w:rFonts w:ascii="Times New Roman" w:hAnsi="Times New Roman" w:cs="Times New Roman"/>
          <w:i/>
          <w:sz w:val="18"/>
          <w:szCs w:val="18"/>
          <w:lang w:val="ro-MD"/>
        </w:rPr>
        <w:t>6</w:t>
      </w: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: </w:t>
      </w:r>
      <w:r w:rsidR="008E103D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Volumul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cauzelor </w:t>
      </w:r>
      <w:r w:rsidRPr="00A72A13">
        <w:rPr>
          <w:rFonts w:ascii="Times New Roman" w:hAnsi="Times New Roman" w:cs="Times New Roman"/>
          <w:b/>
          <w:bCs/>
          <w:i/>
          <w:sz w:val="18"/>
          <w:szCs w:val="18"/>
          <w:lang w:val="ro-MD"/>
        </w:rPr>
        <w:t>noi înregistrate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în </w:t>
      </w:r>
      <w:r w:rsidR="00A4797F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perioada</w:t>
      </w:r>
      <w:r w:rsidR="00782C7B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de raportare, anii 2020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-</w:t>
      </w:r>
      <w:r w:rsidR="00904333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2022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  <w:r w:rsidR="00455C05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</w:t>
      </w:r>
    </w:p>
    <w:p w:rsidR="00455C05" w:rsidRPr="00A72A13" w:rsidRDefault="00455C05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F18F1F" wp14:editId="400C5208">
            <wp:extent cx="6562725" cy="2806700"/>
            <wp:effectExtent l="0" t="0" r="9525" b="1270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C05" w:rsidRPr="00A72A13" w:rsidRDefault="00455C05" w:rsidP="00991732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Volumul cauzelor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noi înregistrate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la Curtea de Apel Cahul </w:t>
      </w:r>
      <w:r w:rsidR="008E103D" w:rsidRPr="00A72A13">
        <w:rPr>
          <w:rFonts w:ascii="Times New Roman" w:hAnsi="Times New Roman"/>
          <w:sz w:val="28"/>
          <w:szCs w:val="28"/>
          <w:lang w:val="ro-MD"/>
        </w:rPr>
        <w:t xml:space="preserve">în anul </w:t>
      </w:r>
      <w:r w:rsidR="00904333" w:rsidRPr="00A72A13">
        <w:rPr>
          <w:rFonts w:ascii="Times New Roman" w:hAnsi="Times New Roman"/>
          <w:sz w:val="28"/>
          <w:szCs w:val="28"/>
          <w:lang w:val="ro-MD"/>
        </w:rPr>
        <w:t>2022</w:t>
      </w:r>
      <w:r w:rsidR="008E103D" w:rsidRPr="00A72A13">
        <w:rPr>
          <w:rFonts w:ascii="Times New Roman" w:hAnsi="Times New Roman"/>
          <w:sz w:val="28"/>
          <w:szCs w:val="28"/>
          <w:lang w:val="ro-MD"/>
        </w:rPr>
        <w:t xml:space="preserve"> este</w:t>
      </w:r>
      <w:r w:rsidR="00CC69E8" w:rsidRPr="00A72A13">
        <w:rPr>
          <w:rFonts w:ascii="Times New Roman" w:hAnsi="Times New Roman"/>
          <w:sz w:val="28"/>
          <w:szCs w:val="28"/>
          <w:lang w:val="ro-MD"/>
        </w:rPr>
        <w:t xml:space="preserve"> de </w:t>
      </w:r>
      <w:r w:rsidR="008E103D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F56A3" w:rsidRPr="00A72A13">
        <w:rPr>
          <w:rFonts w:ascii="Times New Roman" w:hAnsi="Times New Roman"/>
          <w:b/>
          <w:sz w:val="28"/>
          <w:szCs w:val="28"/>
          <w:lang w:val="ro-MD"/>
        </w:rPr>
        <w:t>2332</w:t>
      </w:r>
      <w:r w:rsidR="00CC69E8" w:rsidRPr="00A72A13">
        <w:rPr>
          <w:rFonts w:ascii="Times New Roman" w:hAnsi="Times New Roman"/>
          <w:b/>
          <w:sz w:val="28"/>
          <w:szCs w:val="28"/>
          <w:lang w:val="ro-MD"/>
        </w:rPr>
        <w:t xml:space="preserve"> cauze.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Comparativ </w:t>
      </w:r>
      <w:r w:rsidR="00CC69E8" w:rsidRPr="00A72A13">
        <w:rPr>
          <w:rFonts w:ascii="Times New Roman" w:hAnsi="Times New Roman"/>
          <w:sz w:val="28"/>
          <w:szCs w:val="28"/>
          <w:lang w:val="ro-MD"/>
        </w:rPr>
        <w:t xml:space="preserve">numărul cauzelor noi </w:t>
      </w:r>
      <w:r w:rsidR="00A72A13" w:rsidRPr="00A72A13">
        <w:rPr>
          <w:rFonts w:ascii="Times New Roman" w:hAnsi="Times New Roman"/>
          <w:sz w:val="28"/>
          <w:szCs w:val="28"/>
          <w:lang w:val="ro-MD"/>
        </w:rPr>
        <w:t>înregistrate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este </w:t>
      </w:r>
      <w:r w:rsidR="00CC69E8" w:rsidRPr="00A72A13">
        <w:rPr>
          <w:rFonts w:ascii="Times New Roman" w:hAnsi="Times New Roman"/>
          <w:sz w:val="28"/>
          <w:szCs w:val="28"/>
          <w:lang w:val="ro-MD"/>
        </w:rPr>
        <w:t xml:space="preserve">în creștere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cu </w:t>
      </w:r>
      <w:r w:rsidR="00172FE9" w:rsidRPr="00A72A13">
        <w:rPr>
          <w:rFonts w:ascii="Times New Roman" w:hAnsi="Times New Roman"/>
          <w:sz w:val="28"/>
          <w:szCs w:val="28"/>
          <w:lang w:val="ro-MD"/>
        </w:rPr>
        <w:t>457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</w:t>
      </w:r>
      <w:r w:rsidR="00AF56A3" w:rsidRPr="00A72A13">
        <w:rPr>
          <w:rFonts w:ascii="Times New Roman" w:hAnsi="Times New Roman"/>
          <w:sz w:val="28"/>
          <w:szCs w:val="28"/>
          <w:lang w:val="ro-MD"/>
        </w:rPr>
        <w:t>ze sau 20% față de anul 2020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și cu </w:t>
      </w:r>
      <w:r w:rsidR="00172FE9" w:rsidRPr="00A72A13">
        <w:rPr>
          <w:rFonts w:ascii="Times New Roman" w:hAnsi="Times New Roman"/>
          <w:sz w:val="28"/>
          <w:szCs w:val="28"/>
          <w:lang w:val="ro-MD"/>
        </w:rPr>
        <w:t>202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cauze sau</w:t>
      </w:r>
      <w:r w:rsidR="00567636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F56A3" w:rsidRPr="00A72A13">
        <w:rPr>
          <w:rFonts w:ascii="Times New Roman" w:hAnsi="Times New Roman"/>
          <w:sz w:val="28"/>
          <w:szCs w:val="28"/>
          <w:lang w:val="ro-MD"/>
        </w:rPr>
        <w:t>9% față de anul 2021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AF56A3" w:rsidRPr="00A72A13" w:rsidRDefault="00AF56A3" w:rsidP="00D24B44">
      <w:pPr>
        <w:pStyle w:val="a7"/>
        <w:spacing w:after="0"/>
        <w:rPr>
          <w:rFonts w:ascii="Times New Roman" w:hAnsi="Times New Roman"/>
          <w:sz w:val="24"/>
          <w:szCs w:val="24"/>
          <w:lang w:val="ro-MD"/>
        </w:rPr>
      </w:pPr>
    </w:p>
    <w:p w:rsidR="00455C05" w:rsidRPr="00A72A13" w:rsidRDefault="00FC0330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rFonts w:ascii="Times New Roman" w:hAnsi="Times New Roman" w:cs="Times New Roman"/>
          <w:i/>
          <w:sz w:val="18"/>
          <w:szCs w:val="18"/>
          <w:lang w:val="ro-MD"/>
        </w:rPr>
        <w:t xml:space="preserve">Tabelul nr. 7: 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Volumul cauzelor </w:t>
      </w:r>
      <w:r w:rsidRPr="00A72A13">
        <w:rPr>
          <w:rFonts w:ascii="Times New Roman" w:hAnsi="Times New Roman" w:cs="Times New Roman"/>
          <w:b/>
          <w:bCs/>
          <w:i/>
          <w:sz w:val="18"/>
          <w:szCs w:val="18"/>
          <w:lang w:val="ro-MD"/>
        </w:rPr>
        <w:t>noi înregistrate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în </w:t>
      </w:r>
      <w:r w:rsidR="00A4797F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perioada</w:t>
      </w:r>
      <w:r w:rsidR="00BF4853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de raportare, anul </w:t>
      </w:r>
      <w:r w:rsidR="00904333"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>2022</w:t>
      </w:r>
      <w:r w:rsidRPr="00A72A13">
        <w:rPr>
          <w:rFonts w:ascii="Times New Roman" w:hAnsi="Times New Roman" w:cs="Times New Roman"/>
          <w:bCs/>
          <w:i/>
          <w:sz w:val="18"/>
          <w:szCs w:val="18"/>
          <w:lang w:val="ro-MD"/>
        </w:rPr>
        <w:t xml:space="preserve">  </w:t>
      </w:r>
    </w:p>
    <w:p w:rsidR="008E103D" w:rsidRPr="00A72A13" w:rsidRDefault="008E103D" w:rsidP="00B521E6">
      <w:pPr>
        <w:ind w:right="819"/>
        <w:rPr>
          <w:rFonts w:ascii="Times New Roman" w:hAnsi="Times New Roman" w:cs="Times New Roman"/>
          <w:bCs/>
          <w:i/>
          <w:sz w:val="18"/>
          <w:szCs w:val="18"/>
          <w:lang w:val="ro-MD"/>
        </w:rPr>
      </w:pPr>
      <w:r w:rsidRPr="00A72A13">
        <w:rPr>
          <w:noProof/>
          <w:lang w:eastAsia="ru-RU"/>
        </w:rPr>
        <w:drawing>
          <wp:inline distT="0" distB="0" distL="0" distR="0" wp14:anchorId="701D87B9" wp14:editId="37ECB38D">
            <wp:extent cx="6581775" cy="2609850"/>
            <wp:effectExtent l="0" t="0" r="9525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1732" w:rsidRPr="00A72A13" w:rsidRDefault="000F24AC" w:rsidP="00455ED5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cauzelor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noi înregistrate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per categorii de cauze se prezintă pentru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cauzele penale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58% comparativ acest indice este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mai </w:t>
      </w:r>
      <w:r w:rsidR="00CC69E8" w:rsidRPr="00A72A13">
        <w:rPr>
          <w:rFonts w:ascii="Times New Roman" w:hAnsi="Times New Roman" w:cs="Times New Roman"/>
          <w:sz w:val="28"/>
          <w:szCs w:val="28"/>
          <w:lang w:val="ro-MD"/>
        </w:rPr>
        <w:t>mic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3% față de anul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2020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neschimbat față de anul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contravenționale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C69E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se prezintă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cu 14%</w:t>
      </w:r>
      <w:r w:rsidR="00CC69E8" w:rsidRPr="00A72A1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comparativ în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creștere cu 4% față de an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2020 și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neschimbat față de anul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pentru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civile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comerciale, contencios administrativ, ins</w:t>
      </w:r>
      <w:r w:rsidR="00EC6123" w:rsidRPr="00A72A13">
        <w:rPr>
          <w:rFonts w:ascii="Times New Roman" w:hAnsi="Times New Roman" w:cs="Times New Roman"/>
          <w:b/>
          <w:sz w:val="28"/>
          <w:szCs w:val="28"/>
          <w:lang w:val="ro-MD"/>
        </w:rPr>
        <w:t>olvabilitate</w:t>
      </w:r>
      <w:r w:rsidR="00EC612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avem un indice de 28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mai mic cu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="00D640FC" w:rsidRPr="00A72A13">
        <w:rPr>
          <w:rFonts w:ascii="Times New Roman" w:hAnsi="Times New Roman" w:cs="Times New Roman"/>
          <w:sz w:val="28"/>
          <w:szCs w:val="28"/>
          <w:lang w:val="ro-MD"/>
        </w:rPr>
        <w:t>comparativ cu anul 2020 și mai mult cu 1% față de anul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3E0668" w:rsidRPr="00A72A13" w:rsidRDefault="003E0668" w:rsidP="003E0668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A72A13">
        <w:rPr>
          <w:rFonts w:ascii="Times New Roman" w:hAnsi="Times New Roman" w:cs="Times New Roman"/>
          <w:b/>
          <w:bCs/>
          <w:lang w:val="ro-MD"/>
        </w:rPr>
        <w:t>CAUZE EXAMINATE ÎN PERIOADA DE RAPORTARE</w:t>
      </w:r>
    </w:p>
    <w:p w:rsidR="00300222" w:rsidRPr="00A72A13" w:rsidRDefault="00300222" w:rsidP="003E0668">
      <w:pPr>
        <w:pStyle w:val="a4"/>
        <w:spacing w:line="276" w:lineRule="auto"/>
        <w:jc w:val="center"/>
        <w:rPr>
          <w:rFonts w:ascii="Times New Roman" w:hAnsi="Times New Roman" w:cs="Times New Roman"/>
          <w:b/>
          <w:lang w:val="ro-MD"/>
        </w:rPr>
      </w:pPr>
    </w:p>
    <w:p w:rsidR="003E0668" w:rsidRPr="00A72A13" w:rsidRDefault="003E0668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3E0668" w:rsidRPr="00A72A13" w:rsidRDefault="003E0668" w:rsidP="003E066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C0330" w:rsidRPr="00A72A13">
        <w:rPr>
          <w:rFonts w:ascii="Times New Roman" w:hAnsi="Times New Roman" w:cs="Times New Roman"/>
          <w:i/>
          <w:sz w:val="20"/>
          <w:szCs w:val="20"/>
          <w:lang w:val="ro-MD"/>
        </w:rPr>
        <w:t>8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Volumul </w:t>
      </w:r>
      <w:r w:rsidR="00AF7403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și rata 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cauzelor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examinate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</w:t>
      </w:r>
      <w:r w:rsidR="00D640FC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-</w:t>
      </w:r>
      <w:r w:rsidR="00904333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2022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</w:p>
    <w:p w:rsidR="00D640FC" w:rsidRPr="00A72A13" w:rsidRDefault="00D640FC" w:rsidP="003E066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tbl>
      <w:tblPr>
        <w:tblW w:w="9603" w:type="dxa"/>
        <w:tblInd w:w="113" w:type="dxa"/>
        <w:tblLook w:val="04A0" w:firstRow="1" w:lastRow="0" w:firstColumn="1" w:lastColumn="0" w:noHBand="0" w:noVBand="1"/>
      </w:tblPr>
      <w:tblGrid>
        <w:gridCol w:w="2925"/>
        <w:gridCol w:w="1113"/>
        <w:gridCol w:w="1113"/>
        <w:gridCol w:w="1113"/>
        <w:gridCol w:w="1113"/>
        <w:gridCol w:w="1113"/>
        <w:gridCol w:w="1113"/>
      </w:tblGrid>
      <w:tr w:rsidR="00D640FC" w:rsidRPr="00A72A13" w:rsidTr="00300222">
        <w:trPr>
          <w:trHeight w:val="522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0FC" w:rsidRPr="00A72A13" w:rsidRDefault="00D640FC" w:rsidP="00D640F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Tipul de cauze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0FC" w:rsidRPr="00A72A13" w:rsidRDefault="00D640FC" w:rsidP="00D640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2022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1. Total cauze civile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 xml:space="preserve">2. Total cauze comerciale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3. Total cauze insolvabilitate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4. Total cauze de contencios administrativ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5. Total cauze penale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1 090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1 184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1 195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57%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57%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6. Total cauze contravenționale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15%</w:t>
            </w:r>
          </w:p>
        </w:tc>
      </w:tr>
      <w:tr w:rsidR="00172FE9" w:rsidRPr="00A72A13" w:rsidTr="00300222">
        <w:trPr>
          <w:trHeight w:val="522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Totalul calculat de cauze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1 818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2 060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2 091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E9" w:rsidRPr="00A72A13" w:rsidRDefault="00172FE9" w:rsidP="00172F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</w:tr>
    </w:tbl>
    <w:p w:rsidR="008938C2" w:rsidRPr="00A72A13" w:rsidRDefault="008938C2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300222" w:rsidRPr="00A72A13" w:rsidRDefault="00300222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300222" w:rsidRPr="00A72A13" w:rsidRDefault="00300222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0E0399" w:rsidRPr="00A72A13" w:rsidRDefault="000E0399" w:rsidP="00A149ED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  <w:r w:rsidRPr="00A72A13">
        <w:rPr>
          <w:rFonts w:ascii="Times New Roman" w:hAnsi="Times New Roman"/>
          <w:i/>
          <w:lang w:val="ro-MD"/>
        </w:rPr>
        <w:t xml:space="preserve">Tabelul nr. </w:t>
      </w:r>
      <w:r w:rsidR="00FC0330" w:rsidRPr="00A72A13">
        <w:rPr>
          <w:rFonts w:ascii="Times New Roman" w:hAnsi="Times New Roman"/>
          <w:i/>
          <w:lang w:val="ro-MD"/>
        </w:rPr>
        <w:t>9</w:t>
      </w:r>
      <w:r w:rsidRPr="00A72A13">
        <w:rPr>
          <w:rFonts w:ascii="Times New Roman" w:hAnsi="Times New Roman"/>
          <w:i/>
          <w:lang w:val="ro-MD"/>
        </w:rPr>
        <w:t>: V</w:t>
      </w:r>
      <w:r w:rsidR="00AF7403" w:rsidRPr="00A72A13">
        <w:rPr>
          <w:rFonts w:ascii="Times New Roman" w:hAnsi="Times New Roman"/>
          <w:i/>
          <w:lang w:val="ro-MD"/>
        </w:rPr>
        <w:t>olumul</w:t>
      </w:r>
      <w:r w:rsidRPr="00A72A13">
        <w:rPr>
          <w:rFonts w:ascii="Times New Roman" w:hAnsi="Times New Roman"/>
          <w:i/>
          <w:lang w:val="ro-MD"/>
        </w:rPr>
        <w:t xml:space="preserve"> cauzelor </w:t>
      </w:r>
      <w:r w:rsidRPr="00A72A13">
        <w:rPr>
          <w:rFonts w:ascii="Times New Roman" w:hAnsi="Times New Roman"/>
          <w:b/>
          <w:i/>
          <w:lang w:val="ro-MD"/>
        </w:rPr>
        <w:t>examinate</w:t>
      </w:r>
      <w:r w:rsidRPr="00A72A13">
        <w:rPr>
          <w:rFonts w:ascii="Times New Roman" w:hAnsi="Times New Roman"/>
          <w:i/>
          <w:lang w:val="ro-MD"/>
        </w:rPr>
        <w:t xml:space="preserve"> </w:t>
      </w:r>
      <w:r w:rsidR="008E41FF" w:rsidRPr="00A72A13">
        <w:rPr>
          <w:rFonts w:ascii="Times New Roman" w:hAnsi="Times New Roman"/>
          <w:i/>
          <w:lang w:val="ro-MD"/>
        </w:rPr>
        <w:t>perioada anilor</w:t>
      </w:r>
      <w:r w:rsidRPr="00A72A13">
        <w:rPr>
          <w:rFonts w:ascii="Times New Roman" w:hAnsi="Times New Roman"/>
          <w:i/>
          <w:lang w:val="ro-MD"/>
        </w:rPr>
        <w:t xml:space="preserve"> 20</w:t>
      </w:r>
      <w:r w:rsidR="00732A63" w:rsidRPr="00A72A13">
        <w:rPr>
          <w:rFonts w:ascii="Times New Roman" w:hAnsi="Times New Roman"/>
          <w:i/>
          <w:lang w:val="ro-MD"/>
        </w:rPr>
        <w:t>20</w:t>
      </w:r>
      <w:r w:rsidRPr="00A72A13">
        <w:rPr>
          <w:rFonts w:ascii="Times New Roman" w:hAnsi="Times New Roman"/>
          <w:i/>
          <w:lang w:val="ro-MD"/>
        </w:rPr>
        <w:t>-</w:t>
      </w:r>
      <w:r w:rsidR="00904333" w:rsidRPr="00A72A13">
        <w:rPr>
          <w:rFonts w:ascii="Times New Roman" w:hAnsi="Times New Roman"/>
          <w:i/>
          <w:lang w:val="ro-MD"/>
        </w:rPr>
        <w:t>2022</w:t>
      </w:r>
    </w:p>
    <w:p w:rsidR="00D640FC" w:rsidRPr="00A72A13" w:rsidRDefault="00D640FC" w:rsidP="00A149ED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</w:p>
    <w:p w:rsidR="00AF7403" w:rsidRPr="00A72A13" w:rsidRDefault="00AF7403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  <w:r w:rsidRPr="00A72A13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AEE8193" wp14:editId="7AEDA570">
            <wp:extent cx="6115414" cy="2807267"/>
            <wp:effectExtent l="0" t="0" r="0" b="12700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1F4E" w:rsidRPr="00A72A13" w:rsidRDefault="00E71F4E" w:rsidP="00E71F4E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</w:p>
    <w:p w:rsidR="001353E0" w:rsidRPr="00A72A13" w:rsidRDefault="001353E0" w:rsidP="001353E0">
      <w:pPr>
        <w:pStyle w:val="a7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Volumul cauzelor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examinate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la Curtea de Apel Cahul în anul 2022 este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2091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cauze. </w:t>
      </w:r>
    </w:p>
    <w:p w:rsidR="00991732" w:rsidRPr="00A72A13" w:rsidRDefault="001353E0" w:rsidP="00AE032B">
      <w:pPr>
        <w:pStyle w:val="a7"/>
        <w:spacing w:after="0" w:line="276" w:lineRule="auto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Comparativ acest indice este în creștere cu 273 cauze sau 13% mai mare față de 2020 și cu 31 cauze sau 1,5% mai mare față de 2021</w:t>
      </w:r>
      <w:r w:rsidR="00AE032B" w:rsidRPr="00A72A13">
        <w:rPr>
          <w:rFonts w:ascii="Times New Roman" w:hAnsi="Times New Roman"/>
          <w:sz w:val="22"/>
          <w:szCs w:val="22"/>
          <w:lang w:val="ro-MD"/>
        </w:rPr>
        <w:t xml:space="preserve">. </w:t>
      </w:r>
    </w:p>
    <w:p w:rsidR="00991732" w:rsidRPr="00A72A13" w:rsidRDefault="00991732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455ED5" w:rsidRPr="00A72A13" w:rsidRDefault="00455ED5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455ED5" w:rsidRPr="00A72A13" w:rsidRDefault="00455ED5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455ED5" w:rsidRPr="00A72A13" w:rsidRDefault="00455ED5" w:rsidP="00A149ED">
      <w:pPr>
        <w:pStyle w:val="a7"/>
        <w:spacing w:after="0"/>
        <w:jc w:val="both"/>
        <w:rPr>
          <w:rFonts w:ascii="Times New Roman" w:hAnsi="Times New Roman"/>
          <w:i/>
          <w:sz w:val="24"/>
          <w:szCs w:val="24"/>
          <w:lang w:val="ro-MD"/>
        </w:rPr>
      </w:pPr>
    </w:p>
    <w:p w:rsidR="00CC03CE" w:rsidRPr="00A72A13" w:rsidRDefault="005D45CA" w:rsidP="009032C9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  <w:r w:rsidRPr="00A72A13">
        <w:rPr>
          <w:rFonts w:ascii="Times New Roman" w:hAnsi="Times New Roman"/>
          <w:i/>
          <w:lang w:val="ro-MD"/>
        </w:rPr>
        <w:t xml:space="preserve">Tabelul nr. </w:t>
      </w:r>
      <w:r w:rsidR="00FC0330" w:rsidRPr="00A72A13">
        <w:rPr>
          <w:rFonts w:ascii="Times New Roman" w:hAnsi="Times New Roman"/>
          <w:i/>
          <w:lang w:val="ro-MD"/>
        </w:rPr>
        <w:t>10</w:t>
      </w:r>
      <w:r w:rsidRPr="00A72A13">
        <w:rPr>
          <w:rFonts w:ascii="Times New Roman" w:hAnsi="Times New Roman"/>
          <w:i/>
          <w:lang w:val="ro-MD"/>
        </w:rPr>
        <w:t xml:space="preserve">: Rata cauzelor </w:t>
      </w:r>
      <w:r w:rsidRPr="00A72A13">
        <w:rPr>
          <w:rFonts w:ascii="Times New Roman" w:hAnsi="Times New Roman"/>
          <w:b/>
          <w:i/>
          <w:lang w:val="ro-MD"/>
        </w:rPr>
        <w:t>examinate</w:t>
      </w:r>
      <w:r w:rsidRPr="00A72A13">
        <w:rPr>
          <w:rFonts w:ascii="Times New Roman" w:hAnsi="Times New Roman"/>
          <w:i/>
          <w:lang w:val="ro-MD"/>
        </w:rPr>
        <w:t xml:space="preserve"> per categorii, anul </w:t>
      </w:r>
      <w:r w:rsidR="00904333" w:rsidRPr="00A72A13">
        <w:rPr>
          <w:rFonts w:ascii="Times New Roman" w:hAnsi="Times New Roman"/>
          <w:i/>
          <w:lang w:val="ro-MD"/>
        </w:rPr>
        <w:t>2022</w:t>
      </w:r>
    </w:p>
    <w:p w:rsidR="00991732" w:rsidRPr="00A72A13" w:rsidRDefault="00991732" w:rsidP="009032C9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</w:p>
    <w:p w:rsidR="00C548F7" w:rsidRPr="00A72A13" w:rsidRDefault="00C548F7" w:rsidP="00C548F7">
      <w:pPr>
        <w:ind w:right="819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72A13">
        <w:rPr>
          <w:noProof/>
          <w:lang w:eastAsia="ru-RU"/>
        </w:rPr>
        <w:drawing>
          <wp:inline distT="0" distB="0" distL="0" distR="0" wp14:anchorId="1D0AD1FF" wp14:editId="4326D923">
            <wp:extent cx="6600825" cy="3136265"/>
            <wp:effectExtent l="0" t="0" r="9525" b="6985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6123" w:rsidRPr="00A72A13" w:rsidRDefault="00EC6123" w:rsidP="00991732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cauzelor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examinate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per categorii de cauze se prezintă pentru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cauzele penale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57% comparativ acest indice este 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mai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>mic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3% față de anul 2020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neschimbat față de anul 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2021;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pentru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contravenționale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15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comparativ în 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>creștere cu 4% față de anul 2020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2% în anul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pentru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civile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comerciale, contencios administrativ, insolvabilitate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avem un indice de </w:t>
      </w:r>
      <w:r w:rsidR="00480405" w:rsidRPr="00A72A13">
        <w:rPr>
          <w:rFonts w:ascii="Times New Roman" w:hAnsi="Times New Roman" w:cs="Times New Roman"/>
          <w:sz w:val="28"/>
          <w:szCs w:val="28"/>
          <w:lang w:val="ro-MD"/>
        </w:rPr>
        <w:t>28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D75B95" w:rsidRPr="00A72A1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75B9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mai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>mic</w:t>
      </w:r>
      <w:r w:rsidR="00D75B9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8D2EB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aproximativ </w:t>
      </w:r>
      <w:r w:rsidR="00D75B95" w:rsidRPr="00A72A13">
        <w:rPr>
          <w:rFonts w:ascii="Times New Roman" w:hAnsi="Times New Roman" w:cs="Times New Roman"/>
          <w:sz w:val="28"/>
          <w:szCs w:val="28"/>
          <w:lang w:val="ro-MD"/>
        </w:rPr>
        <w:t>4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="00D75B9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față de anii 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>2020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</w:t>
      </w:r>
      <w:r w:rsidR="008E41FF" w:rsidRPr="00A72A13">
        <w:rPr>
          <w:rFonts w:ascii="Times New Roman" w:hAnsi="Times New Roman" w:cs="Times New Roman"/>
          <w:sz w:val="28"/>
          <w:szCs w:val="28"/>
          <w:lang w:val="ro-MD"/>
        </w:rPr>
        <w:t>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FC0330" w:rsidRPr="00A72A13" w:rsidRDefault="00FC0330" w:rsidP="000D626F">
      <w:pPr>
        <w:ind w:right="819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0D626F" w:rsidRPr="00A72A13" w:rsidRDefault="000D626F" w:rsidP="000D626F">
      <w:pPr>
        <w:ind w:right="819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FE1B2D" w:rsidRPr="00A72A13">
        <w:rPr>
          <w:rFonts w:ascii="Times New Roman" w:hAnsi="Times New Roman" w:cs="Times New Roman"/>
          <w:i/>
          <w:sz w:val="20"/>
          <w:szCs w:val="20"/>
          <w:lang w:val="ro-MD"/>
        </w:rPr>
        <w:t>11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Rata cauzelor încheiate pri</w:t>
      </w:r>
      <w:r w:rsidR="00E45A95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ntr-o singură ședință, anii 2020</w:t>
      </w:r>
      <w:r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-</w:t>
      </w:r>
      <w:r w:rsidR="00904333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2022</w:t>
      </w:r>
    </w:p>
    <w:p w:rsidR="000D626F" w:rsidRPr="00A72A13" w:rsidRDefault="000D626F" w:rsidP="000D626F">
      <w:pPr>
        <w:pStyle w:val="a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2F971D" wp14:editId="31C5334A">
            <wp:extent cx="6762750" cy="2543175"/>
            <wp:effectExtent l="0" t="0" r="0" b="9525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626F" w:rsidRPr="00A72A13" w:rsidRDefault="000D626F" w:rsidP="008B5367">
      <w:pPr>
        <w:pStyle w:val="a4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A10DF" w:rsidRPr="00A72A13" w:rsidRDefault="000D626F" w:rsidP="00C307A1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Rata cauzelor încheiate printr-o singură ședință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se prezintă cu </w:t>
      </w:r>
      <w:r w:rsidR="00E45A95" w:rsidRPr="00A72A13">
        <w:rPr>
          <w:rFonts w:ascii="Times New Roman" w:hAnsi="Times New Roman" w:cs="Times New Roman"/>
          <w:sz w:val="28"/>
          <w:szCs w:val="28"/>
          <w:lang w:val="ro-MD"/>
        </w:rPr>
        <w:t>59</w:t>
      </w:r>
      <w:r w:rsidR="00C307A1"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comparativ acest </w:t>
      </w:r>
      <w:r w:rsidR="00E45A95" w:rsidRPr="00A72A13">
        <w:rPr>
          <w:rFonts w:ascii="Times New Roman" w:hAnsi="Times New Roman" w:cs="Times New Roman"/>
          <w:sz w:val="28"/>
          <w:szCs w:val="28"/>
          <w:lang w:val="ro-MD"/>
        </w:rPr>
        <w:t>indice în anul 2020 este de 56%, iar în anul 2021 constitui</w:t>
      </w:r>
      <w:r w:rsidR="00FE1B2D" w:rsidRPr="00A72A13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E45A9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62%.</w:t>
      </w:r>
    </w:p>
    <w:p w:rsidR="00455ED5" w:rsidRPr="00A72A13" w:rsidRDefault="00455ED5" w:rsidP="00E332CE">
      <w:pPr>
        <w:ind w:right="819" w:firstLine="7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CA4D64" w:rsidRPr="00A72A13" w:rsidRDefault="00CA4D64" w:rsidP="00CA4D64">
      <w:pPr>
        <w:pStyle w:val="a4"/>
        <w:spacing w:line="360" w:lineRule="auto"/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/>
          <w:b/>
          <w:lang w:val="ro-MD"/>
        </w:rPr>
        <w:t>CAUZELE EXAMINATE ÎN PRIMA INSTANȚĂ</w:t>
      </w:r>
    </w:p>
    <w:p w:rsidR="00CA4D64" w:rsidRPr="00A72A13" w:rsidRDefault="00CA4D64" w:rsidP="00CA4D64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12: Volumul și rata cauzelor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examinate în procedura </w:t>
      </w:r>
      <w:r w:rsidR="00C557BE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I</w:t>
      </w:r>
      <w:r w:rsidR="002013BF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Instanță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CA4D64" w:rsidRPr="00A72A13" w:rsidRDefault="00CA4D64" w:rsidP="00CA4D64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</w:p>
    <w:tbl>
      <w:tblPr>
        <w:tblW w:w="10230" w:type="dxa"/>
        <w:tblInd w:w="113" w:type="dxa"/>
        <w:tblLook w:val="04A0" w:firstRow="1" w:lastRow="0" w:firstColumn="1" w:lastColumn="0" w:noHBand="0" w:noVBand="1"/>
      </w:tblPr>
      <w:tblGrid>
        <w:gridCol w:w="5269"/>
        <w:gridCol w:w="1843"/>
        <w:gridCol w:w="1559"/>
        <w:gridCol w:w="1559"/>
      </w:tblGrid>
      <w:tr w:rsidR="00146723" w:rsidRPr="00A72A13" w:rsidTr="00146723">
        <w:trPr>
          <w:trHeight w:val="513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23" w:rsidRPr="00A72A13" w:rsidRDefault="00146723" w:rsidP="00CA4D64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2022</w:t>
            </w:r>
          </w:p>
        </w:tc>
      </w:tr>
      <w:tr w:rsidR="00146723" w:rsidRPr="00A72A13" w:rsidTr="00146723">
        <w:trPr>
          <w:trHeight w:val="5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23" w:rsidRPr="00A72A13" w:rsidRDefault="00146723" w:rsidP="00CA4D64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1. Total cauze insolvabilitate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0</w:t>
            </w:r>
          </w:p>
        </w:tc>
      </w:tr>
      <w:tr w:rsidR="00146723" w:rsidRPr="00A72A13" w:rsidTr="00146723">
        <w:trPr>
          <w:trHeight w:val="513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723" w:rsidRPr="00A72A13" w:rsidRDefault="00146723" w:rsidP="00CA4D64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2. Total cauze de contencios administrativ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723" w:rsidRPr="00A72A13" w:rsidRDefault="00146723" w:rsidP="00CA4D64">
            <w:pPr>
              <w:pStyle w:val="a4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5</w:t>
            </w:r>
          </w:p>
        </w:tc>
      </w:tr>
    </w:tbl>
    <w:p w:rsidR="00CA4D64" w:rsidRPr="00A72A13" w:rsidRDefault="00CA4D64" w:rsidP="00CA4D64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</w:p>
    <w:p w:rsidR="00146723" w:rsidRPr="00A72A13" w:rsidRDefault="00146723" w:rsidP="00146723">
      <w:pPr>
        <w:pStyle w:val="a7"/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perioada de raportare s-au examinat în prima instanță - 5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 xml:space="preserve">cauze de contencios administrativ . </w:t>
      </w:r>
    </w:p>
    <w:p w:rsidR="002013BF" w:rsidRPr="00A72A13" w:rsidRDefault="00146723" w:rsidP="00AE032B">
      <w:pPr>
        <w:pStyle w:val="a7"/>
        <w:spacing w:after="0" w:line="276" w:lineRule="auto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C</w:t>
      </w:r>
      <w:r w:rsidR="00CA4D64" w:rsidRPr="00A72A13">
        <w:rPr>
          <w:rFonts w:ascii="Times New Roman" w:hAnsi="Times New Roman"/>
          <w:sz w:val="28"/>
          <w:szCs w:val="28"/>
          <w:lang w:val="ro-MD"/>
        </w:rPr>
        <w:t>omparat</w:t>
      </w:r>
      <w:r w:rsidRPr="00A72A13">
        <w:rPr>
          <w:rFonts w:ascii="Times New Roman" w:hAnsi="Times New Roman"/>
          <w:sz w:val="28"/>
          <w:szCs w:val="28"/>
          <w:lang w:val="ro-MD"/>
        </w:rPr>
        <w:t>iv cu anul 2020 acest indice nu este schimbat esențial</w:t>
      </w:r>
      <w:r w:rsidRPr="00A72A13">
        <w:rPr>
          <w:rFonts w:ascii="Times New Roman" w:hAnsi="Times New Roman"/>
          <w:sz w:val="22"/>
          <w:szCs w:val="22"/>
          <w:lang w:val="ro-MD"/>
        </w:rPr>
        <w:t xml:space="preserve">. </w:t>
      </w:r>
    </w:p>
    <w:p w:rsidR="0022409C" w:rsidRPr="00A72A13" w:rsidRDefault="0022409C" w:rsidP="00AE032B">
      <w:pPr>
        <w:pStyle w:val="a7"/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22409C" w:rsidRPr="00A72A13" w:rsidRDefault="0022409C" w:rsidP="0022409C">
      <w:pPr>
        <w:pStyle w:val="a7"/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PROCEDURA ORDINII DE APEL</w:t>
      </w:r>
    </w:p>
    <w:p w:rsidR="00AE032B" w:rsidRPr="00A72A13" w:rsidRDefault="00AE032B" w:rsidP="00AE032B">
      <w:pPr>
        <w:pStyle w:val="a7"/>
        <w:spacing w:after="0" w:line="276" w:lineRule="auto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</w:p>
    <w:p w:rsidR="00CA4D64" w:rsidRPr="00A72A13" w:rsidRDefault="00AE032B" w:rsidP="00AE032B">
      <w:pPr>
        <w:ind w:right="819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EXAMINAREA </w:t>
      </w:r>
      <w:r w:rsidRPr="00A72A13">
        <w:rPr>
          <w:rFonts w:ascii="Times New Roman" w:hAnsi="Times New Roman" w:cs="Times New Roman"/>
          <w:b/>
          <w:i/>
          <w:sz w:val="24"/>
          <w:szCs w:val="24"/>
          <w:u w:val="single"/>
          <w:lang w:val="ro-MD"/>
        </w:rPr>
        <w:t>CAUZELOR PENALE</w:t>
      </w:r>
      <w:r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 ÎN </w:t>
      </w:r>
      <w:r w:rsidR="00146723"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>PROCEDURA ORDINII DE APEL</w:t>
      </w:r>
    </w:p>
    <w:p w:rsidR="002013BF" w:rsidRPr="00A72A13" w:rsidRDefault="002013BF" w:rsidP="00AE032B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455ED5" w:rsidRPr="00A72A13">
        <w:rPr>
          <w:rFonts w:ascii="Times New Roman" w:hAnsi="Times New Roman" w:cs="Times New Roman"/>
          <w:i/>
          <w:sz w:val="20"/>
          <w:szCs w:val="20"/>
          <w:lang w:val="ro-MD"/>
        </w:rPr>
        <w:t>13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Volumul și rata cauzelor </w:t>
      </w:r>
      <w:r w:rsidR="001B0357" w:rsidRPr="00A72A13">
        <w:rPr>
          <w:rFonts w:ascii="Times New Roman" w:hAnsi="Times New Roman" w:cs="Times New Roman"/>
          <w:i/>
          <w:sz w:val="20"/>
          <w:szCs w:val="20"/>
          <w:lang w:val="ro-MD"/>
        </w:rPr>
        <w:t>PENALE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examinate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apel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</w:t>
      </w:r>
      <w:r w:rsidR="00AE032B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2022</w:t>
      </w:r>
    </w:p>
    <w:p w:rsidR="002013BF" w:rsidRPr="00A72A13" w:rsidRDefault="002013BF" w:rsidP="00801E4F">
      <w:pPr>
        <w:ind w:firstLine="14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Cs/>
          <w:i/>
          <w:noProof/>
          <w:sz w:val="20"/>
          <w:szCs w:val="20"/>
          <w:lang w:eastAsia="ru-RU"/>
        </w:rPr>
        <w:drawing>
          <wp:inline distT="0" distB="0" distL="0" distR="0" wp14:anchorId="2C9E2BAF" wp14:editId="4AFEAB5F">
            <wp:extent cx="6534150" cy="3190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31304" w:rsidRPr="00A72A13" w:rsidRDefault="00F31304" w:rsidP="00B7639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procedura </w:t>
      </w:r>
      <w:r w:rsidR="009D479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ordinii de apel la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Cur</w:t>
      </w:r>
      <w:r w:rsidR="009D4798" w:rsidRPr="00A72A13">
        <w:rPr>
          <w:rFonts w:ascii="Times New Roman" w:hAnsi="Times New Roman" w:cs="Times New Roman"/>
          <w:sz w:val="28"/>
          <w:szCs w:val="28"/>
          <w:lang w:val="ro-MD"/>
        </w:rPr>
        <w:t>tea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Apel Cahul în anul 2022 s-au aflat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389 dosare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C139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o diferență de 2,3 % mai mult față de anul 2022 și cu 16,7% mai mult față de 2020. </w:t>
      </w:r>
    </w:p>
    <w:p w:rsidR="005104AD" w:rsidRPr="00A72A13" w:rsidRDefault="005104AD" w:rsidP="00B7639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Din analiza </w:t>
      </w:r>
      <w:r w:rsidR="00A56823" w:rsidRPr="00A72A13">
        <w:rPr>
          <w:rFonts w:ascii="Times New Roman" w:hAnsi="Times New Roman" w:cs="Times New Roman"/>
          <w:sz w:val="28"/>
          <w:szCs w:val="28"/>
          <w:lang w:val="ro-MD"/>
        </w:rPr>
        <w:t>acestei categorii</w:t>
      </w:r>
      <w:r w:rsidR="00B7639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dosare constatăm că d</w:t>
      </w:r>
      <w:r w:rsidR="00785D0B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in </w:t>
      </w:r>
      <w:r w:rsidR="00B85F32" w:rsidRPr="00A72A13">
        <w:rPr>
          <w:rFonts w:ascii="Times New Roman" w:hAnsi="Times New Roman" w:cs="Times New Roman"/>
          <w:b/>
          <w:sz w:val="28"/>
          <w:szCs w:val="28"/>
          <w:lang w:val="ro-MD"/>
        </w:rPr>
        <w:t>389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85F32" w:rsidRPr="00A72A13">
        <w:rPr>
          <w:rFonts w:ascii="Times New Roman" w:hAnsi="Times New Roman" w:cs="Times New Roman"/>
          <w:sz w:val="28"/>
          <w:szCs w:val="28"/>
          <w:lang w:val="ro-MD"/>
        </w:rPr>
        <w:t>în procedură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au fost examinate </w:t>
      </w:r>
      <w:r w:rsidR="00785D0B" w:rsidRPr="00A72A13">
        <w:rPr>
          <w:rFonts w:ascii="Times New Roman" w:hAnsi="Times New Roman" w:cs="Times New Roman"/>
          <w:b/>
          <w:sz w:val="28"/>
          <w:szCs w:val="28"/>
          <w:lang w:val="ro-MD"/>
        </w:rPr>
        <w:t>252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801E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(64,78%),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ceia ce constituie cu </w:t>
      </w:r>
      <w:r w:rsidR="00785D0B" w:rsidRPr="00A72A13">
        <w:rPr>
          <w:rFonts w:ascii="Times New Roman" w:hAnsi="Times New Roman" w:cs="Times New Roman"/>
          <w:sz w:val="28"/>
          <w:szCs w:val="28"/>
          <w:lang w:val="ro-MD"/>
        </w:rPr>
        <w:t>29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cauze mai </w:t>
      </w:r>
      <w:r w:rsidR="00785D0B" w:rsidRPr="00A72A13">
        <w:rPr>
          <w:rFonts w:ascii="Times New Roman" w:hAnsi="Times New Roman" w:cs="Times New Roman"/>
          <w:sz w:val="28"/>
          <w:szCs w:val="28"/>
          <w:lang w:val="ro-MD"/>
        </w:rPr>
        <w:t>puțin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 în aceiași perioadă a anului 2021</w:t>
      </w:r>
      <w:r w:rsidR="00A5682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cam acelaș număr față de anul 2020.</w:t>
      </w:r>
    </w:p>
    <w:p w:rsidR="00801E4F" w:rsidRPr="00A72A13" w:rsidRDefault="00A56823" w:rsidP="00801E4F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Odată cu creșterea numărului de cauze aflate în procedură s-a majorat și numărul de cauze pendinte la sfîrșitul perioadei de referință.</w:t>
      </w:r>
    </w:p>
    <w:p w:rsidR="00801E4F" w:rsidRPr="00A72A13" w:rsidRDefault="00801E4F" w:rsidP="00B45459">
      <w:pPr>
        <w:pStyle w:val="a4"/>
        <w:rPr>
          <w:rFonts w:ascii="Times New Roman" w:hAnsi="Times New Roman" w:cs="Times New Roman"/>
          <w:sz w:val="24"/>
          <w:szCs w:val="24"/>
          <w:lang w:val="ro-MD"/>
        </w:rPr>
      </w:pPr>
    </w:p>
    <w:p w:rsidR="00801E4F" w:rsidRPr="00A72A13" w:rsidRDefault="00801E4F" w:rsidP="00801E4F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</w:p>
    <w:p w:rsidR="00E800C9" w:rsidRPr="00A72A13" w:rsidRDefault="00512611" w:rsidP="00E800C9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455ED5" w:rsidRPr="00A72A13">
        <w:rPr>
          <w:rFonts w:ascii="Times New Roman" w:hAnsi="Times New Roman" w:cs="Times New Roman"/>
          <w:i/>
          <w:sz w:val="20"/>
          <w:szCs w:val="20"/>
          <w:lang w:val="ro-MD"/>
        </w:rPr>
        <w:t>14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cauzelor 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menținute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apel dosare penale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,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512611" w:rsidRPr="00A72A13" w:rsidRDefault="00512611" w:rsidP="00E800C9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</w:p>
    <w:p w:rsidR="00110BE4" w:rsidRPr="00A72A13" w:rsidRDefault="00512611" w:rsidP="00E800C9">
      <w:pPr>
        <w:pStyle w:val="a4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0FD65D" wp14:editId="629F62FC">
            <wp:extent cx="6334125" cy="258127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00C9" w:rsidRPr="00A72A13" w:rsidRDefault="00E800C9" w:rsidP="000C04F3">
      <w:pPr>
        <w:pStyle w:val="a4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512611" w:rsidRPr="00A72A13" w:rsidRDefault="00512611" w:rsidP="000C04F3">
      <w:pPr>
        <w:pStyle w:val="a7"/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Din analiza</w:t>
      </w:r>
      <w:r w:rsidR="00776FC1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FC6341" w:rsidRPr="00A72A13">
        <w:rPr>
          <w:rFonts w:ascii="Times New Roman" w:hAnsi="Times New Roman"/>
          <w:sz w:val="28"/>
          <w:szCs w:val="28"/>
          <w:lang w:val="ro-MD"/>
        </w:rPr>
        <w:t>cauzelor penale</w:t>
      </w:r>
      <w:r w:rsidR="00CA2F93" w:rsidRPr="00A72A13">
        <w:rPr>
          <w:rFonts w:ascii="Times New Roman" w:hAnsi="Times New Roman"/>
          <w:sz w:val="28"/>
          <w:szCs w:val="28"/>
          <w:lang w:val="ro-MD"/>
        </w:rPr>
        <w:t xml:space="preserve"> soluționate </w:t>
      </w:r>
      <w:r w:rsidR="000C04F3" w:rsidRPr="00A72A13">
        <w:rPr>
          <w:rFonts w:ascii="Times New Roman" w:hAnsi="Times New Roman"/>
          <w:i/>
          <w:sz w:val="28"/>
          <w:szCs w:val="28"/>
          <w:lang w:val="ro-MD"/>
        </w:rPr>
        <w:t>menținute</w:t>
      </w:r>
      <w:r w:rsidR="000C04F3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A2F93" w:rsidRPr="00A72A13">
        <w:rPr>
          <w:rFonts w:ascii="Times New Roman" w:hAnsi="Times New Roman"/>
          <w:sz w:val="28"/>
          <w:szCs w:val="28"/>
          <w:lang w:val="ro-MD"/>
        </w:rPr>
        <w:t xml:space="preserve">în procedura ordinii de apel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 xml:space="preserve">observăm </w:t>
      </w:r>
      <w:r w:rsidR="00CA2F93" w:rsidRPr="00A72A13">
        <w:rPr>
          <w:rFonts w:ascii="Times New Roman" w:hAnsi="Times New Roman"/>
          <w:sz w:val="28"/>
          <w:szCs w:val="28"/>
          <w:lang w:val="ro-MD"/>
        </w:rPr>
        <w:t xml:space="preserve"> o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>scă</w:t>
      </w:r>
      <w:r w:rsidR="000C04F3" w:rsidRPr="00A72A13">
        <w:rPr>
          <w:rFonts w:ascii="Times New Roman" w:hAnsi="Times New Roman"/>
          <w:sz w:val="28"/>
          <w:szCs w:val="28"/>
          <w:lang w:val="ro-MD"/>
        </w:rPr>
        <w:t>dere cu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 xml:space="preserve"> 2,71% față de anul 2020 și o </w:t>
      </w:r>
      <w:r w:rsidR="00B10AF3" w:rsidRPr="00A72A13">
        <w:rPr>
          <w:rFonts w:ascii="Times New Roman" w:hAnsi="Times New Roman"/>
          <w:sz w:val="28"/>
          <w:szCs w:val="28"/>
          <w:lang w:val="ro-MD"/>
        </w:rPr>
        <w:t>majorare</w:t>
      </w:r>
      <w:r w:rsidR="00E800C9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FC6341" w:rsidRPr="00A72A13">
        <w:rPr>
          <w:rFonts w:ascii="Times New Roman" w:hAnsi="Times New Roman"/>
          <w:sz w:val="28"/>
          <w:szCs w:val="28"/>
          <w:lang w:val="ro-MD"/>
        </w:rPr>
        <w:t>de la</w:t>
      </w:r>
      <w:r w:rsidR="00B10AF3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>37,37</w:t>
      </w:r>
      <w:r w:rsidR="00E800C9" w:rsidRPr="00A72A13">
        <w:rPr>
          <w:rFonts w:ascii="Times New Roman" w:hAnsi="Times New Roman"/>
          <w:sz w:val="28"/>
          <w:szCs w:val="28"/>
          <w:lang w:val="ro-MD"/>
        </w:rPr>
        <w:t>%</w:t>
      </w:r>
      <w:r w:rsidR="00B10AF3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FC6341" w:rsidRPr="00A72A13">
        <w:rPr>
          <w:rFonts w:ascii="Times New Roman" w:hAnsi="Times New Roman"/>
          <w:sz w:val="28"/>
          <w:szCs w:val="28"/>
          <w:lang w:val="ro-MD"/>
        </w:rPr>
        <w:t>în anul 2021 la</w:t>
      </w:r>
      <w:r w:rsidR="00C557BE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>38,49</w:t>
      </w:r>
      <w:r w:rsidR="00B10AF3" w:rsidRPr="00A72A13">
        <w:rPr>
          <w:rFonts w:ascii="Times New Roman" w:hAnsi="Times New Roman"/>
          <w:sz w:val="28"/>
          <w:szCs w:val="28"/>
          <w:lang w:val="ro-MD"/>
        </w:rPr>
        <w:t>%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10AF3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FC6341" w:rsidRPr="00A72A13">
        <w:rPr>
          <w:rFonts w:ascii="Times New Roman" w:hAnsi="Times New Roman"/>
          <w:sz w:val="28"/>
          <w:szCs w:val="28"/>
          <w:lang w:val="ro-MD"/>
        </w:rPr>
        <w:t>în anul 2022</w:t>
      </w:r>
      <w:r w:rsidR="00776FC1" w:rsidRPr="00A72A13">
        <w:rPr>
          <w:rFonts w:ascii="Times New Roman" w:hAnsi="Times New Roman"/>
          <w:sz w:val="28"/>
          <w:szCs w:val="28"/>
          <w:lang w:val="ro-MD"/>
        </w:rPr>
        <w:t>.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A4F94" w:rsidRPr="00A72A13" w:rsidRDefault="00CA4F94" w:rsidP="00B10AF3">
      <w:pPr>
        <w:pStyle w:val="a7"/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CA4F94" w:rsidRPr="00A72A13" w:rsidRDefault="00CA4F94" w:rsidP="00CA4F94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455ED5" w:rsidRPr="00A72A13">
        <w:rPr>
          <w:rFonts w:ascii="Times New Roman" w:hAnsi="Times New Roman" w:cs="Times New Roman"/>
          <w:i/>
          <w:sz w:val="20"/>
          <w:szCs w:val="20"/>
          <w:lang w:val="ro-MD"/>
        </w:rPr>
        <w:t>15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cauzelor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examinate 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modificate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în procedura ordinii de apel dosare penale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512611" w:rsidRPr="00A72A13" w:rsidRDefault="00512611" w:rsidP="00CA4F94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512611" w:rsidRPr="00A72A13" w:rsidRDefault="00776FC1" w:rsidP="00776FC1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9CF5C60" wp14:editId="0317C351">
            <wp:extent cx="6477000" cy="30861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76FC1" w:rsidRPr="00A72A13" w:rsidRDefault="00776FC1" w:rsidP="00776FC1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512611" w:rsidRPr="00A72A13" w:rsidRDefault="00776FC1" w:rsidP="00776FC1">
      <w:pPr>
        <w:pStyle w:val="a7"/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privința cauzelor penale soluționate </w:t>
      </w:r>
      <w:r w:rsidR="000C04F3" w:rsidRPr="00A72A13">
        <w:rPr>
          <w:rFonts w:ascii="Times New Roman" w:hAnsi="Times New Roman"/>
          <w:sz w:val="28"/>
          <w:szCs w:val="28"/>
          <w:lang w:val="ro-MD"/>
        </w:rPr>
        <w:t xml:space="preserve">modificate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în procedura ordinii de apel se atestă o scădere a procentajului de la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>51,25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% în anul 2021 pînă la 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>45,63</w:t>
      </w:r>
      <w:r w:rsidRPr="00A72A13">
        <w:rPr>
          <w:rFonts w:ascii="Times New Roman" w:hAnsi="Times New Roman"/>
          <w:sz w:val="28"/>
          <w:szCs w:val="28"/>
          <w:lang w:val="ro-MD"/>
        </w:rPr>
        <w:t>% în anul 2022.</w:t>
      </w:r>
      <w:r w:rsidR="00670845" w:rsidRPr="00A72A13">
        <w:rPr>
          <w:rFonts w:ascii="Times New Roman" w:hAnsi="Times New Roman"/>
          <w:sz w:val="28"/>
          <w:szCs w:val="28"/>
          <w:lang w:val="ro-MD"/>
        </w:rPr>
        <w:t xml:space="preserve"> Cu o diferență de 9,63% acest indice este în majorare față de anul 2020.</w:t>
      </w:r>
    </w:p>
    <w:p w:rsidR="00512611" w:rsidRPr="00A72A13" w:rsidRDefault="00512611" w:rsidP="00CA4F94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B10AF3" w:rsidRPr="00A72A13" w:rsidRDefault="00B10AF3" w:rsidP="00B10AF3">
      <w:pPr>
        <w:pStyle w:val="a7"/>
        <w:spacing w:after="0"/>
        <w:ind w:firstLine="720"/>
        <w:jc w:val="both"/>
        <w:rPr>
          <w:rFonts w:ascii="Times New Roman" w:hAnsi="Times New Roman"/>
          <w:sz w:val="22"/>
          <w:szCs w:val="22"/>
          <w:lang w:val="ro-MD"/>
        </w:rPr>
      </w:pPr>
    </w:p>
    <w:p w:rsidR="00801E4F" w:rsidRPr="00A72A13" w:rsidRDefault="00801E4F" w:rsidP="00A84DDB">
      <w:pPr>
        <w:pStyle w:val="a7"/>
        <w:spacing w:after="0"/>
        <w:jc w:val="both"/>
        <w:rPr>
          <w:rFonts w:ascii="Times New Roman" w:hAnsi="Times New Roman"/>
          <w:sz w:val="22"/>
          <w:szCs w:val="22"/>
          <w:lang w:val="ro-MD"/>
        </w:rPr>
      </w:pPr>
    </w:p>
    <w:p w:rsidR="00CA4F94" w:rsidRPr="00A72A13" w:rsidRDefault="001B0357" w:rsidP="001B0357">
      <w:pPr>
        <w:ind w:right="819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EXAMINAREA </w:t>
      </w:r>
      <w:r w:rsidRPr="00A72A13">
        <w:rPr>
          <w:rFonts w:ascii="Times New Roman" w:hAnsi="Times New Roman" w:cs="Times New Roman"/>
          <w:b/>
          <w:i/>
          <w:sz w:val="24"/>
          <w:szCs w:val="24"/>
          <w:u w:val="single"/>
          <w:lang w:val="ro-MD"/>
        </w:rPr>
        <w:t>CAUZELOR CIVILE</w:t>
      </w:r>
      <w:r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="00CA4F94"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ȘI </w:t>
      </w:r>
      <w:r w:rsidR="00CA4F94" w:rsidRPr="00A72A13">
        <w:rPr>
          <w:rFonts w:ascii="Times New Roman" w:hAnsi="Times New Roman" w:cs="Times New Roman"/>
          <w:b/>
          <w:i/>
          <w:sz w:val="24"/>
          <w:szCs w:val="24"/>
          <w:u w:val="single"/>
          <w:lang w:val="ro-MD"/>
        </w:rPr>
        <w:t>CONTENCIOS ADMINISTRATIV</w:t>
      </w:r>
      <w:r w:rsidR="00CA4F94"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</w:p>
    <w:p w:rsidR="001B0357" w:rsidRPr="00A72A13" w:rsidRDefault="001B0357" w:rsidP="001B0357">
      <w:pPr>
        <w:ind w:right="819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/>
          <w:i/>
          <w:sz w:val="24"/>
          <w:szCs w:val="24"/>
          <w:lang w:val="ro-MD"/>
        </w:rPr>
        <w:t>ÎN PROCEDURA ORDINII DE APEL</w:t>
      </w:r>
    </w:p>
    <w:p w:rsidR="001B0357" w:rsidRPr="00A72A13" w:rsidRDefault="001B0357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16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Volumul și rata cauzelor </w:t>
      </w:r>
      <w:r w:rsidR="000C04F3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civile, contencios administrativ 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examinate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apel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B42A54" w:rsidRPr="00A72A13" w:rsidRDefault="00B42A54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B42A54" w:rsidRPr="00A72A13" w:rsidRDefault="00B42A54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B42A54" w:rsidRPr="00A72A13" w:rsidRDefault="00B42A54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bCs/>
          <w:i/>
          <w:noProof/>
          <w:sz w:val="20"/>
          <w:szCs w:val="20"/>
        </w:rPr>
        <w:drawing>
          <wp:inline distT="0" distB="0" distL="0" distR="0" wp14:anchorId="40019723" wp14:editId="180FEC24">
            <wp:extent cx="6572250" cy="2733675"/>
            <wp:effectExtent l="0" t="0" r="0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2A54" w:rsidRPr="00A72A13" w:rsidRDefault="00B42A54" w:rsidP="001B0357">
      <w:pPr>
        <w:pStyle w:val="a4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CA4F94" w:rsidRPr="00A72A13" w:rsidRDefault="00CA4F94" w:rsidP="00CA4F9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La Curtea de Apel Cahul în anul 2022 în procedura ordinii de apel </w:t>
      </w:r>
      <w:r w:rsidR="00801E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pe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cauze civile,</w:t>
      </w:r>
      <w:r w:rsidR="00801E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contencios administrativ s-au aflat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428 dosare</w:t>
      </w:r>
      <w:r w:rsidR="000C04F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Numărul de cauze aflate în procedură  comparativ se prezintă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o diferență de </w:t>
      </w:r>
      <w:r w:rsidR="00503D6E" w:rsidRPr="00A72A13">
        <w:rPr>
          <w:rFonts w:ascii="Times New Roman" w:hAnsi="Times New Roman" w:cs="Times New Roman"/>
          <w:sz w:val="28"/>
          <w:szCs w:val="28"/>
          <w:lang w:val="ro-MD"/>
        </w:rPr>
        <w:t>6,</w:t>
      </w:r>
      <w:r w:rsidR="00A56823" w:rsidRPr="00A72A13">
        <w:rPr>
          <w:rFonts w:ascii="Times New Roman" w:hAnsi="Times New Roman" w:cs="Times New Roman"/>
          <w:sz w:val="28"/>
          <w:szCs w:val="28"/>
          <w:lang w:val="ro-MD"/>
        </w:rPr>
        <w:t>54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% mai </w:t>
      </w:r>
      <w:r w:rsidR="00503D6E" w:rsidRPr="00A72A13">
        <w:rPr>
          <w:rFonts w:ascii="Times New Roman" w:hAnsi="Times New Roman" w:cs="Times New Roman"/>
          <w:sz w:val="28"/>
          <w:szCs w:val="28"/>
          <w:lang w:val="ro-MD"/>
        </w:rPr>
        <w:t>puțin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 de anul 202</w:t>
      </w:r>
      <w:r w:rsidR="00A56823" w:rsidRPr="00A72A13">
        <w:rPr>
          <w:rFonts w:ascii="Times New Roman" w:hAnsi="Times New Roman" w:cs="Times New Roman"/>
          <w:sz w:val="28"/>
          <w:szCs w:val="28"/>
          <w:lang w:val="ro-MD"/>
        </w:rPr>
        <w:t>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</w:t>
      </w:r>
      <w:r w:rsidR="00503D6E" w:rsidRPr="00A72A13">
        <w:rPr>
          <w:rFonts w:ascii="Times New Roman" w:hAnsi="Times New Roman" w:cs="Times New Roman"/>
          <w:sz w:val="28"/>
          <w:szCs w:val="28"/>
          <w:lang w:val="ro-MD"/>
        </w:rPr>
        <w:t>4,</w:t>
      </w:r>
      <w:r w:rsidR="00A56823" w:rsidRPr="00A72A13">
        <w:rPr>
          <w:rFonts w:ascii="Times New Roman" w:hAnsi="Times New Roman" w:cs="Times New Roman"/>
          <w:sz w:val="28"/>
          <w:szCs w:val="28"/>
          <w:lang w:val="ro-MD"/>
        </w:rPr>
        <w:t>67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mai mult față de 2020. </w:t>
      </w:r>
    </w:p>
    <w:p w:rsidR="0081447E" w:rsidRPr="00A72A13" w:rsidRDefault="0081447E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284247" w:rsidRPr="00A72A13" w:rsidRDefault="0081447E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17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cauzelor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examinate 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menținute,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în procedura ordinii de apel dosare civile, contencios administrativ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284247" w:rsidRPr="00A72A13" w:rsidRDefault="0081447E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CF224D" wp14:editId="6363CB99">
            <wp:extent cx="6334125" cy="258127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04F3" w:rsidRPr="00A72A13" w:rsidRDefault="0081447E" w:rsidP="00C557BE">
      <w:pPr>
        <w:pStyle w:val="a7"/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Din analiza cauzelor civile și contencios administrativ soluționate în procedura ordinii de apel se atestă o </w:t>
      </w:r>
      <w:r w:rsidR="00887EFF" w:rsidRPr="00A72A13">
        <w:rPr>
          <w:rFonts w:ascii="Times New Roman" w:hAnsi="Times New Roman"/>
          <w:sz w:val="28"/>
          <w:szCs w:val="28"/>
          <w:lang w:val="ro-MD"/>
        </w:rPr>
        <w:t>majorare</w:t>
      </w:r>
      <w:r w:rsidR="000C04F3" w:rsidRPr="00A72A13">
        <w:rPr>
          <w:rFonts w:ascii="Times New Roman" w:hAnsi="Times New Roman"/>
          <w:sz w:val="28"/>
          <w:szCs w:val="28"/>
          <w:lang w:val="ro-MD"/>
        </w:rPr>
        <w:t xml:space="preserve"> a ratei </w:t>
      </w:r>
      <w:r w:rsidRPr="00A72A13">
        <w:rPr>
          <w:rFonts w:ascii="Times New Roman" w:hAnsi="Times New Roman"/>
          <w:sz w:val="28"/>
          <w:szCs w:val="28"/>
          <w:lang w:val="ro-MD"/>
        </w:rPr>
        <w:t>cauze</w:t>
      </w:r>
      <w:r w:rsidR="000C04F3" w:rsidRPr="00A72A13">
        <w:rPr>
          <w:rFonts w:ascii="Times New Roman" w:hAnsi="Times New Roman"/>
          <w:sz w:val="28"/>
          <w:szCs w:val="28"/>
          <w:lang w:val="ro-MD"/>
        </w:rPr>
        <w:t>lor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/>
          <w:i/>
          <w:sz w:val="28"/>
          <w:szCs w:val="28"/>
          <w:lang w:val="ro-MD"/>
        </w:rPr>
        <w:t xml:space="preserve">menținute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de la </w:t>
      </w:r>
      <w:r w:rsidR="00887EFF" w:rsidRPr="00A72A13">
        <w:rPr>
          <w:rFonts w:ascii="Times New Roman" w:hAnsi="Times New Roman"/>
          <w:sz w:val="28"/>
          <w:szCs w:val="28"/>
          <w:lang w:val="ro-MD"/>
        </w:rPr>
        <w:t>38,01</w:t>
      </w:r>
      <w:r w:rsidRPr="00A72A13">
        <w:rPr>
          <w:rFonts w:ascii="Times New Roman" w:hAnsi="Times New Roman"/>
          <w:sz w:val="28"/>
          <w:szCs w:val="28"/>
          <w:lang w:val="ro-MD"/>
        </w:rPr>
        <w:t>% în anul 202</w:t>
      </w:r>
      <w:r w:rsidR="00381B2A" w:rsidRPr="00A72A13">
        <w:rPr>
          <w:rFonts w:ascii="Times New Roman" w:hAnsi="Times New Roman"/>
          <w:sz w:val="28"/>
          <w:szCs w:val="28"/>
          <w:lang w:val="ro-MD"/>
        </w:rPr>
        <w:t xml:space="preserve">0 pînă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la  </w:t>
      </w:r>
      <w:r w:rsidR="00887EFF" w:rsidRPr="00A72A13">
        <w:rPr>
          <w:rFonts w:ascii="Times New Roman" w:hAnsi="Times New Roman"/>
          <w:sz w:val="28"/>
          <w:szCs w:val="28"/>
          <w:lang w:val="ro-MD"/>
        </w:rPr>
        <w:t>39,56</w:t>
      </w:r>
      <w:r w:rsidRPr="00A72A13">
        <w:rPr>
          <w:rFonts w:ascii="Times New Roman" w:hAnsi="Times New Roman"/>
          <w:sz w:val="28"/>
          <w:szCs w:val="28"/>
          <w:lang w:val="ro-MD"/>
        </w:rPr>
        <w:t>% în anul 2022.</w:t>
      </w:r>
    </w:p>
    <w:p w:rsidR="00381B2A" w:rsidRPr="00A72A13" w:rsidRDefault="00381B2A" w:rsidP="00381B2A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18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cauzelor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examinate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modificate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 în procedura ordinii de apel dosare civi</w:t>
      </w:r>
      <w:r w:rsidR="000C04F3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le și contencios administrative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284247" w:rsidRPr="00A72A13" w:rsidRDefault="00381B2A" w:rsidP="001B035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125395" wp14:editId="6C1D4AED">
            <wp:extent cx="6464410" cy="2608028"/>
            <wp:effectExtent l="0" t="0" r="12700" b="190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E2CB2" w:rsidRPr="00A72A13" w:rsidRDefault="00381B2A" w:rsidP="00381B2A">
      <w:pPr>
        <w:pStyle w:val="a7"/>
        <w:spacing w:after="0" w:line="276" w:lineRule="auto"/>
        <w:jc w:val="both"/>
        <w:rPr>
          <w:rFonts w:ascii="Times New Roman" w:hAnsi="Times New Roman"/>
          <w:i/>
          <w:sz w:val="28"/>
          <w:szCs w:val="28"/>
          <w:lang w:val="ro-MD"/>
        </w:rPr>
      </w:pPr>
      <w:r w:rsidRPr="00A72A13">
        <w:rPr>
          <w:rFonts w:ascii="Times New Roman" w:eastAsiaTheme="minorHAnsi" w:hAnsi="Times New Roman"/>
          <w:i/>
          <w:lang w:val="ro-MD" w:eastAsia="ru-RU"/>
        </w:rPr>
        <w:t xml:space="preserve"> </w:t>
      </w:r>
    </w:p>
    <w:p w:rsidR="00381B2A" w:rsidRPr="00A72A13" w:rsidRDefault="00381B2A" w:rsidP="000C04F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Cauzele civile și contencios administrativ soluționate în procedura ordinii de apel cu modificarea hotărîrii instanței de fond</w:t>
      </w:r>
      <w:r w:rsidR="000C04F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ne indică o scădere a procentajului de la </w:t>
      </w:r>
      <w:r w:rsidR="00887EFF" w:rsidRPr="00A72A13">
        <w:rPr>
          <w:rFonts w:ascii="Times New Roman" w:hAnsi="Times New Roman" w:cs="Times New Roman"/>
          <w:sz w:val="28"/>
          <w:szCs w:val="28"/>
          <w:lang w:val="ro-MD"/>
        </w:rPr>
        <w:t>39,62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în anul 2020 pînă la </w:t>
      </w:r>
      <w:r w:rsidR="00887EFF" w:rsidRPr="00A72A13">
        <w:rPr>
          <w:rFonts w:ascii="Times New Roman" w:hAnsi="Times New Roman" w:cs="Times New Roman"/>
          <w:sz w:val="28"/>
          <w:szCs w:val="28"/>
          <w:lang w:val="ro-MD"/>
        </w:rPr>
        <w:t>32,97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% în anul 2022</w:t>
      </w:r>
      <w:r w:rsidR="00B1402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Comparativ cu anul 2021 acest procentaj este majorat cu </w:t>
      </w:r>
      <w:r w:rsidR="00887EF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4,2 </w:t>
      </w:r>
      <w:r w:rsidR="00B1402C" w:rsidRPr="00A72A13">
        <w:rPr>
          <w:rFonts w:ascii="Times New Roman" w:hAnsi="Times New Roman" w:cs="Times New Roman"/>
          <w:sz w:val="28"/>
          <w:szCs w:val="28"/>
          <w:lang w:val="ro-MD"/>
        </w:rPr>
        <w:t>%.</w:t>
      </w:r>
    </w:p>
    <w:p w:rsidR="000C04F3" w:rsidRPr="00A72A13" w:rsidRDefault="000C04F3" w:rsidP="000C04F3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22409C" w:rsidRPr="00A72A13" w:rsidRDefault="0022409C" w:rsidP="0022409C">
      <w:pPr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/>
          <w:sz w:val="24"/>
          <w:szCs w:val="24"/>
          <w:lang w:val="ro-MD"/>
        </w:rPr>
        <w:t>PROCEDURA ORDINII DE RECURS</w:t>
      </w:r>
    </w:p>
    <w:p w:rsidR="00BB37A3" w:rsidRPr="00A72A13" w:rsidRDefault="0022409C" w:rsidP="00BB37A3">
      <w:pPr>
        <w:pStyle w:val="a4"/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 xml:space="preserve">EXAMINAREA </w:t>
      </w:r>
      <w:r w:rsidRPr="00A72A13">
        <w:rPr>
          <w:rFonts w:ascii="Times New Roman" w:hAnsi="Times New Roman" w:cs="Times New Roman"/>
          <w:b/>
          <w:u w:val="single"/>
          <w:lang w:val="ro-MD"/>
        </w:rPr>
        <w:t>CAUZELOR PENALE</w:t>
      </w:r>
      <w:r w:rsidRPr="00A72A13">
        <w:rPr>
          <w:rFonts w:ascii="Times New Roman" w:hAnsi="Times New Roman" w:cs="Times New Roman"/>
          <w:b/>
          <w:lang w:val="ro-MD"/>
        </w:rPr>
        <w:t xml:space="preserve"> ÎN PROCEDURA ORDINII DE RECURS</w:t>
      </w:r>
    </w:p>
    <w:p w:rsidR="00A35216" w:rsidRPr="00A72A13" w:rsidRDefault="00A35216" w:rsidP="00BB37A3">
      <w:pPr>
        <w:pStyle w:val="a4"/>
        <w:jc w:val="center"/>
        <w:rPr>
          <w:rFonts w:ascii="Times New Roman" w:hAnsi="Times New Roman" w:cs="Times New Roman"/>
          <w:b/>
          <w:lang w:val="ro-MD"/>
        </w:rPr>
      </w:pPr>
    </w:p>
    <w:p w:rsidR="003B104F" w:rsidRPr="00A72A13" w:rsidRDefault="0022409C" w:rsidP="00C557B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Cs/>
          <w:i/>
          <w:noProof/>
          <w:sz w:val="20"/>
          <w:szCs w:val="20"/>
        </w:rPr>
        <w:drawing>
          <wp:inline distT="0" distB="0" distL="0" distR="0" wp14:anchorId="6F93D1C5" wp14:editId="14E35D7E">
            <wp:extent cx="6819900" cy="2733675"/>
            <wp:effectExtent l="0" t="0" r="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B37A3" w:rsidRPr="00A72A13" w:rsidRDefault="00F6277E" w:rsidP="00BB37A3">
      <w:pPr>
        <w:pStyle w:val="a4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perioada de raportare s-au 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>aflat la Curtea de Apel Cahul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B37A3" w:rsidRPr="00A72A13">
        <w:rPr>
          <w:rFonts w:ascii="Times New Roman" w:hAnsi="Times New Roman" w:cs="Times New Roman"/>
          <w:sz w:val="28"/>
          <w:szCs w:val="28"/>
          <w:lang w:val="ro-MD"/>
        </w:rPr>
        <w:t>în procedura ordinii de recurs)</w:t>
      </w:r>
      <w:r w:rsidR="00BB37A3" w:rsidRPr="00A72A13">
        <w:rPr>
          <w:rFonts w:ascii="Times New Roman" w:hAnsi="Times New Roman"/>
          <w:b/>
          <w:sz w:val="28"/>
          <w:szCs w:val="28"/>
          <w:lang w:val="ro-MD"/>
        </w:rPr>
        <w:t>114</w:t>
      </w:r>
      <w:r w:rsidR="00EF1F1F" w:rsidRPr="00A72A13">
        <w:rPr>
          <w:rFonts w:ascii="Times New Roman" w:hAnsi="Times New Roman"/>
          <w:b/>
          <w:sz w:val="28"/>
          <w:szCs w:val="28"/>
          <w:lang w:val="ro-MD"/>
        </w:rPr>
        <w:t>7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cauze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F6277E" w:rsidRPr="00A72A13" w:rsidRDefault="00F6277E" w:rsidP="00BB37A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Comparativ cu anul 202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>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acest indice este </w:t>
      </w:r>
      <w:r w:rsidR="00250737" w:rsidRPr="00A72A13">
        <w:rPr>
          <w:rFonts w:ascii="Times New Roman" w:hAnsi="Times New Roman"/>
          <w:sz w:val="28"/>
          <w:szCs w:val="28"/>
          <w:lang w:val="ro-MD"/>
        </w:rPr>
        <w:t>în creștere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cu 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>1</w:t>
      </w:r>
      <w:r w:rsidR="00EF1F1F" w:rsidRPr="00A72A13">
        <w:rPr>
          <w:rFonts w:ascii="Times New Roman" w:hAnsi="Times New Roman"/>
          <w:sz w:val="28"/>
          <w:szCs w:val="28"/>
          <w:lang w:val="ro-MD"/>
        </w:rPr>
        <w:t>51(13,15%)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cauze 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 xml:space="preserve">și cu 239 </w:t>
      </w:r>
      <w:r w:rsidR="00EF1F1F" w:rsidRPr="00A72A13">
        <w:rPr>
          <w:rFonts w:ascii="Times New Roman" w:hAnsi="Times New Roman"/>
          <w:sz w:val="28"/>
          <w:szCs w:val="28"/>
          <w:lang w:val="ro-MD"/>
        </w:rPr>
        <w:t xml:space="preserve">(20,82%) </w:t>
      </w:r>
      <w:r w:rsidR="00BB37A3" w:rsidRPr="00A72A13">
        <w:rPr>
          <w:rFonts w:ascii="Times New Roman" w:hAnsi="Times New Roman"/>
          <w:sz w:val="28"/>
          <w:szCs w:val="28"/>
          <w:lang w:val="ro-MD"/>
        </w:rPr>
        <w:t>față de anul 2020.</w:t>
      </w:r>
    </w:p>
    <w:p w:rsidR="00B868F1" w:rsidRPr="00A72A13" w:rsidRDefault="00BB37A3" w:rsidP="00B868F1">
      <w:pPr>
        <w:pStyle w:val="a7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Din totalul de cauze aflate în procedură s-au examinat </w:t>
      </w:r>
      <w:r w:rsidR="00250737" w:rsidRPr="00A72A13">
        <w:rPr>
          <w:rFonts w:ascii="Times New Roman" w:hAnsi="Times New Roman"/>
          <w:b/>
          <w:sz w:val="28"/>
          <w:szCs w:val="28"/>
          <w:lang w:val="ro-MD"/>
        </w:rPr>
        <w:t>94</w:t>
      </w:r>
      <w:r w:rsidR="00EF1F1F" w:rsidRPr="00A72A13">
        <w:rPr>
          <w:rFonts w:ascii="Times New Roman" w:hAnsi="Times New Roman"/>
          <w:b/>
          <w:sz w:val="28"/>
          <w:szCs w:val="28"/>
          <w:lang w:val="ro-MD"/>
        </w:rPr>
        <w:t>2</w:t>
      </w:r>
      <w:r w:rsidR="00250737" w:rsidRPr="00A72A13">
        <w:rPr>
          <w:rFonts w:ascii="Times New Roman" w:hAnsi="Times New Roman"/>
          <w:b/>
          <w:sz w:val="28"/>
          <w:szCs w:val="28"/>
          <w:lang w:val="ro-MD"/>
        </w:rPr>
        <w:t xml:space="preserve"> (</w:t>
      </w:r>
      <w:r w:rsidR="00EF1F1F" w:rsidRPr="00A72A13">
        <w:rPr>
          <w:rFonts w:ascii="Times New Roman" w:hAnsi="Times New Roman"/>
          <w:b/>
          <w:sz w:val="28"/>
          <w:szCs w:val="28"/>
          <w:lang w:val="ro-MD"/>
        </w:rPr>
        <w:t>82,13</w:t>
      </w:r>
      <w:r w:rsidR="00250737" w:rsidRPr="00A72A13">
        <w:rPr>
          <w:rFonts w:ascii="Times New Roman" w:hAnsi="Times New Roman"/>
          <w:b/>
          <w:sz w:val="28"/>
          <w:szCs w:val="28"/>
          <w:lang w:val="ro-MD"/>
        </w:rPr>
        <w:t xml:space="preserve">% )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ca</w:t>
      </w:r>
      <w:r w:rsidR="00250737" w:rsidRPr="00A72A13">
        <w:rPr>
          <w:rFonts w:ascii="Times New Roman" w:hAnsi="Times New Roman"/>
          <w:b/>
          <w:sz w:val="28"/>
          <w:szCs w:val="28"/>
          <w:lang w:val="ro-MD"/>
        </w:rPr>
        <w:t>uze</w:t>
      </w:r>
      <w:r w:rsidR="00B868F1" w:rsidRPr="00A72A13">
        <w:rPr>
          <w:rFonts w:ascii="Times New Roman" w:hAnsi="Times New Roman"/>
          <w:sz w:val="28"/>
          <w:szCs w:val="28"/>
          <w:lang w:val="ro-MD"/>
        </w:rPr>
        <w:t>.</w:t>
      </w:r>
      <w:r w:rsidR="00F6277E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50737" w:rsidRPr="00A72A13">
        <w:rPr>
          <w:rFonts w:ascii="Times New Roman" w:hAnsi="Times New Roman"/>
          <w:sz w:val="28"/>
          <w:szCs w:val="28"/>
          <w:lang w:val="ro-MD"/>
        </w:rPr>
        <w:t>Comparativ cu 4,</w:t>
      </w:r>
      <w:r w:rsidR="00EF1F1F" w:rsidRPr="00A72A13">
        <w:rPr>
          <w:rFonts w:ascii="Times New Roman" w:hAnsi="Times New Roman"/>
          <w:sz w:val="28"/>
          <w:szCs w:val="28"/>
          <w:lang w:val="ro-MD"/>
        </w:rPr>
        <w:t>35</w:t>
      </w:r>
      <w:r w:rsidR="00250737" w:rsidRPr="00A72A13">
        <w:rPr>
          <w:rFonts w:ascii="Times New Roman" w:hAnsi="Times New Roman"/>
          <w:sz w:val="28"/>
          <w:szCs w:val="28"/>
          <w:lang w:val="ro-MD"/>
        </w:rPr>
        <w:t>% cauze mai mult față de anul 2021 și cu 10,</w:t>
      </w:r>
      <w:r w:rsidR="00EF1F1F" w:rsidRPr="00A72A13">
        <w:rPr>
          <w:rFonts w:ascii="Times New Roman" w:hAnsi="Times New Roman"/>
          <w:sz w:val="28"/>
          <w:szCs w:val="28"/>
          <w:lang w:val="ro-MD"/>
        </w:rPr>
        <w:t>93</w:t>
      </w:r>
      <w:r w:rsidR="00250737" w:rsidRPr="00A72A13">
        <w:rPr>
          <w:rFonts w:ascii="Times New Roman" w:hAnsi="Times New Roman"/>
          <w:sz w:val="28"/>
          <w:szCs w:val="28"/>
          <w:lang w:val="ro-MD"/>
        </w:rPr>
        <w:t xml:space="preserve">% față de anul 2020. </w:t>
      </w:r>
    </w:p>
    <w:p w:rsidR="00EF1F1F" w:rsidRPr="00A72A13" w:rsidRDefault="00EF1F1F" w:rsidP="00EF1F1F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250737" w:rsidRPr="00A72A13" w:rsidRDefault="00EF1F1F" w:rsidP="00250737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19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</w:t>
      </w:r>
      <w:r w:rsidR="00006F28" w:rsidRPr="00A72A13">
        <w:rPr>
          <w:rFonts w:ascii="Times New Roman" w:hAnsi="Times New Roman" w:cs="Times New Roman"/>
          <w:i/>
          <w:sz w:val="20"/>
          <w:szCs w:val="20"/>
          <w:lang w:val="ro-MD"/>
        </w:rPr>
        <w:t>încheierilor menținut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e </w:t>
      </w:r>
      <w:r w:rsidR="00006F28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recurs, categoria cauzelor penale, anii 2020-2023</w:t>
      </w:r>
    </w:p>
    <w:p w:rsidR="00006F28" w:rsidRPr="00A72A13" w:rsidRDefault="00006F28" w:rsidP="0025073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F1641B" w:rsidRPr="00A72A13" w:rsidRDefault="00250737" w:rsidP="006569F5">
      <w:pPr>
        <w:pStyle w:val="a7"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D2FAE07" wp14:editId="09342A79">
            <wp:extent cx="6334125" cy="258127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45459" w:rsidRPr="00A72A13" w:rsidRDefault="00B45459" w:rsidP="0054440A">
      <w:pPr>
        <w:ind w:right="819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      </w:t>
      </w:r>
      <w:r w:rsidRPr="00A72A13">
        <w:rPr>
          <w:rFonts w:ascii="Times New Roman" w:hAnsi="Times New Roman" w:cs="Times New Roman"/>
          <w:bCs/>
          <w:sz w:val="28"/>
          <w:szCs w:val="28"/>
          <w:lang w:val="ro-MD"/>
        </w:rPr>
        <w:t>Rata încheierilor menținute pe cauzele penale în anul 2022 este de 78,87% în creștere față de 75,80%  în anul 2021 și 67,34% în anul 2020</w:t>
      </w:r>
    </w:p>
    <w:p w:rsidR="00C557BE" w:rsidRPr="00A72A13" w:rsidRDefault="00C557BE" w:rsidP="0054440A">
      <w:pPr>
        <w:ind w:right="819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0542B7" w:rsidRPr="00A72A13" w:rsidRDefault="000542B7" w:rsidP="000542B7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="00006F28" w:rsidRPr="00A72A13">
        <w:rPr>
          <w:rFonts w:ascii="Times New Roman" w:hAnsi="Times New Roman" w:cs="Times New Roman"/>
          <w:i/>
          <w:sz w:val="20"/>
          <w:szCs w:val="20"/>
          <w:lang w:val="ro-MD"/>
        </w:rPr>
        <w:t>Rata încheierilor modificate în procedura ordinii de recurs , categoria cauzelor penale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 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, anii 2020-2022</w:t>
      </w:r>
    </w:p>
    <w:p w:rsidR="000542B7" w:rsidRPr="00A72A13" w:rsidRDefault="000542B7" w:rsidP="000542B7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250737" w:rsidRPr="00A72A13" w:rsidRDefault="00EE6D98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D720FC4" wp14:editId="5BD3AE5D">
            <wp:extent cx="6477000" cy="308610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50737" w:rsidRPr="00A72A13" w:rsidRDefault="00250737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006F28" w:rsidRPr="00A72A13" w:rsidRDefault="00006F28" w:rsidP="00B93051">
      <w:pPr>
        <w:pStyle w:val="a4"/>
        <w:jc w:val="center"/>
        <w:rPr>
          <w:rFonts w:ascii="Times New Roman" w:hAnsi="Times New Roman" w:cs="Times New Roman"/>
          <w:b/>
          <w:lang w:val="ro-MD"/>
        </w:rPr>
      </w:pPr>
    </w:p>
    <w:p w:rsidR="00006F28" w:rsidRPr="00A72A13" w:rsidRDefault="00B45459" w:rsidP="00B45459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Cs/>
          <w:sz w:val="28"/>
          <w:szCs w:val="28"/>
          <w:lang w:val="ro-MD"/>
        </w:rPr>
        <w:t>Rata încheierilor modificate pe cauzele penale în anul 2022 se prezintă cu  19,66 % în scădere față de 22,42%  în anul 2021 și 30,51% în anul 2020.</w:t>
      </w:r>
    </w:p>
    <w:p w:rsidR="00C557BE" w:rsidRPr="00A72A13" w:rsidRDefault="00C557BE" w:rsidP="00B93051">
      <w:pPr>
        <w:pStyle w:val="a4"/>
        <w:jc w:val="center"/>
        <w:rPr>
          <w:rFonts w:ascii="Times New Roman" w:hAnsi="Times New Roman" w:cs="Times New Roman"/>
          <w:b/>
          <w:lang w:val="ro-MD"/>
        </w:rPr>
      </w:pPr>
    </w:p>
    <w:p w:rsidR="00C557BE" w:rsidRPr="00A72A13" w:rsidRDefault="00C557BE" w:rsidP="00B93051">
      <w:pPr>
        <w:pStyle w:val="a4"/>
        <w:jc w:val="center"/>
        <w:rPr>
          <w:rFonts w:ascii="Times New Roman" w:hAnsi="Times New Roman" w:cs="Times New Roman"/>
          <w:b/>
          <w:lang w:val="ro-MD"/>
        </w:rPr>
      </w:pPr>
    </w:p>
    <w:p w:rsidR="00C557BE" w:rsidRPr="00A72A13" w:rsidRDefault="00C557BE" w:rsidP="00B93051">
      <w:pPr>
        <w:pStyle w:val="a4"/>
        <w:jc w:val="center"/>
        <w:rPr>
          <w:rFonts w:ascii="Times New Roman" w:hAnsi="Times New Roman" w:cs="Times New Roman"/>
          <w:b/>
          <w:lang w:val="ro-MD"/>
        </w:rPr>
      </w:pPr>
    </w:p>
    <w:p w:rsidR="00B93051" w:rsidRPr="00A72A13" w:rsidRDefault="00B93051" w:rsidP="00B93051">
      <w:pPr>
        <w:pStyle w:val="a4"/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>EXAMINAREA CAUZELOR CIVILE</w:t>
      </w:r>
      <w:r w:rsidR="00006F28" w:rsidRPr="00A72A13">
        <w:rPr>
          <w:rFonts w:ascii="Times New Roman" w:hAnsi="Times New Roman" w:cs="Times New Roman"/>
          <w:b/>
          <w:lang w:val="ro-MD"/>
        </w:rPr>
        <w:t>, CONTENCIOS ADMINISTRATIV, INSOLVABILITATE</w:t>
      </w:r>
      <w:r w:rsidRPr="00A72A13">
        <w:rPr>
          <w:rFonts w:ascii="Times New Roman" w:hAnsi="Times New Roman" w:cs="Times New Roman"/>
          <w:b/>
          <w:lang w:val="ro-MD"/>
        </w:rPr>
        <w:t xml:space="preserve"> ÎN PROCEDURA ORDINII DE RECURS</w:t>
      </w:r>
    </w:p>
    <w:p w:rsidR="00250737" w:rsidRPr="00A72A13" w:rsidRDefault="00250737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B93051" w:rsidRPr="00A72A13" w:rsidRDefault="00B93051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A72A13">
        <w:rPr>
          <w:rFonts w:ascii="Times New Roman" w:hAnsi="Times New Roman"/>
          <w:bCs/>
          <w:i/>
          <w:noProof/>
          <w:lang w:val="ru-RU" w:eastAsia="ru-RU"/>
        </w:rPr>
        <w:drawing>
          <wp:inline distT="0" distB="0" distL="0" distR="0" wp14:anchorId="0D94A23F" wp14:editId="1A2113CB">
            <wp:extent cx="6581775" cy="2514600"/>
            <wp:effectExtent l="0" t="0" r="952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93051" w:rsidRPr="00A72A13" w:rsidRDefault="00B93051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B93051" w:rsidRPr="00A72A13" w:rsidRDefault="00B93051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7D5C6C" w:rsidRPr="00A72A13" w:rsidRDefault="007D5C6C" w:rsidP="00A35216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perioada de raportare s-au aflat la Curtea de Apel Cahul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procedura ordinii de recurs cauze civile, contencios administrativ și insolvabilitate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290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7D5C6C" w:rsidRPr="00A72A13" w:rsidRDefault="007D5C6C" w:rsidP="00A3521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Comparativ cu anul 2021 acest indice este în creștere cu 34 (11,72%) cauze și cu 56 (19,31%) față de anul 2020.</w:t>
      </w:r>
    </w:p>
    <w:p w:rsidR="00B93051" w:rsidRPr="00A72A13" w:rsidRDefault="007D5C6C" w:rsidP="00A35216">
      <w:pPr>
        <w:pStyle w:val="a7"/>
        <w:spacing w:after="0"/>
        <w:ind w:firstLine="720"/>
        <w:jc w:val="both"/>
        <w:rPr>
          <w:rFonts w:ascii="Times New Roman" w:hAnsi="Times New Roman"/>
          <w:sz w:val="24"/>
          <w:szCs w:val="24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Din totalul de cauze civile, contencios administrativ și insolvabilitate aflate în procedura ordinii de recurs s-au examinat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260 (89,66% ) cauze</w:t>
      </w:r>
      <w:r w:rsidRPr="00A72A13">
        <w:rPr>
          <w:rFonts w:ascii="Times New Roman" w:hAnsi="Times New Roman"/>
          <w:sz w:val="28"/>
          <w:szCs w:val="28"/>
          <w:lang w:val="ro-MD"/>
        </w:rPr>
        <w:t>. Comparativ cu 8,85% cauze mai mult față de anul 2021 și cu 16,54% față de anul 2020.</w:t>
      </w:r>
    </w:p>
    <w:p w:rsidR="00B93051" w:rsidRPr="00A72A13" w:rsidRDefault="00B93051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7D5C6C" w:rsidRPr="00A72A13" w:rsidRDefault="007D5C6C" w:rsidP="007D5C6C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21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încheierilor menținute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 xml:space="preserve">în procedura ordinii de recurs, categoria cauzelor </w:t>
      </w:r>
      <w:r w:rsidR="00B56CB6"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civile, contencios administrativ, insolvabilitate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, anii 2020-2023</w:t>
      </w:r>
    </w:p>
    <w:p w:rsidR="007D5C6C" w:rsidRPr="00A72A13" w:rsidRDefault="007D5C6C" w:rsidP="007D5C6C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B93051" w:rsidRPr="00A72A13" w:rsidRDefault="007D5C6C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E6A12F3" wp14:editId="3665BB9C">
            <wp:extent cx="6334125" cy="2581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93051" w:rsidRPr="00A72A13" w:rsidRDefault="00B93051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250737" w:rsidRPr="00A72A13" w:rsidRDefault="00B56CB6" w:rsidP="00330203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4"/>
          <w:szCs w:val="24"/>
          <w:lang w:val="ro-MD"/>
        </w:rPr>
        <w:tab/>
      </w:r>
      <w:r w:rsidRPr="00A72A13">
        <w:rPr>
          <w:rFonts w:ascii="Times New Roman" w:hAnsi="Times New Roman"/>
          <w:sz w:val="28"/>
          <w:szCs w:val="28"/>
          <w:lang w:val="ro-MD"/>
        </w:rPr>
        <w:t>În anul 2022 rata încheierilor menținute examinate în procedura ordinii de recurs este de 70,77 % comparativ în creștere cu 18,45% față de anul 2021 și cu 2,75% față da anul 2020.</w:t>
      </w:r>
    </w:p>
    <w:p w:rsidR="00250737" w:rsidRPr="00A72A13" w:rsidRDefault="00250737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B56CB6" w:rsidRPr="00A72A13" w:rsidRDefault="00B56CB6" w:rsidP="00B56CB6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22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încheierilor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modificate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recurs, categoria cauzelor civile, contencios administrativ, insolvabilitate, anii 2020-2023</w:t>
      </w:r>
    </w:p>
    <w:p w:rsidR="00250737" w:rsidRPr="00A72A13" w:rsidRDefault="00250737" w:rsidP="00330203">
      <w:pPr>
        <w:pStyle w:val="a7"/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B56CB6" w:rsidRPr="00A72A13" w:rsidRDefault="00B56CB6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AB8B50" wp14:editId="6D0C4E42">
            <wp:extent cx="6334125" cy="258127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56CB6" w:rsidRPr="00A72A13" w:rsidRDefault="00B56CB6" w:rsidP="00B45459">
      <w:pPr>
        <w:ind w:right="819" w:firstLine="720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Rata încheierilor modificate examinate în procedura ordinii de recurs în perioada de referință este de 25,00% comparativ în scădere cu 11,29% față de anul 2021 și cu 1,27% față da anul 2020.</w:t>
      </w:r>
    </w:p>
    <w:p w:rsidR="00B56CB6" w:rsidRPr="00A72A13" w:rsidRDefault="00B56CB6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B56CB6" w:rsidRPr="00A72A13" w:rsidRDefault="00B56CB6" w:rsidP="00B56CB6">
      <w:pPr>
        <w:pStyle w:val="a4"/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 xml:space="preserve">EXAMINAREA CAUZELOR </w:t>
      </w:r>
      <w:r w:rsidRPr="00B64813">
        <w:rPr>
          <w:rFonts w:ascii="Times New Roman" w:hAnsi="Times New Roman" w:cs="Times New Roman"/>
          <w:b/>
          <w:lang w:val="ro-MD"/>
        </w:rPr>
        <w:t>CONTRAVENȚIONALE</w:t>
      </w:r>
      <w:r w:rsidRPr="00A72A13">
        <w:rPr>
          <w:rFonts w:ascii="Times New Roman" w:hAnsi="Times New Roman" w:cs="Times New Roman"/>
          <w:b/>
          <w:lang w:val="ro-MD"/>
        </w:rPr>
        <w:t xml:space="preserve"> ÎN PROCEDURA ORDINII DE RECURS</w:t>
      </w:r>
    </w:p>
    <w:p w:rsidR="00B56CB6" w:rsidRPr="00A72A13" w:rsidRDefault="00B56CB6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B56CB6" w:rsidRPr="00A72A13" w:rsidRDefault="00B56CB6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  <w:r w:rsidRPr="00A72A13">
        <w:rPr>
          <w:rFonts w:ascii="Times New Roman" w:hAnsi="Times New Roman"/>
          <w:bCs/>
          <w:i/>
          <w:noProof/>
          <w:lang w:eastAsia="ru-RU"/>
        </w:rPr>
        <w:drawing>
          <wp:inline distT="0" distB="0" distL="0" distR="0" wp14:anchorId="6520C8F6" wp14:editId="35CA7DEE">
            <wp:extent cx="6581775" cy="251460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60BDA" w:rsidRPr="00A72A13" w:rsidRDefault="00860BDA" w:rsidP="00B45459">
      <w:pPr>
        <w:pStyle w:val="a4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procedura ordinii de recurs cauze contravenționale spre soluționate s-au aflat  362 cauze. </w:t>
      </w:r>
      <w:r w:rsidRPr="00A72A13">
        <w:rPr>
          <w:rFonts w:ascii="Times New Roman" w:hAnsi="Times New Roman"/>
          <w:sz w:val="28"/>
          <w:szCs w:val="28"/>
          <w:lang w:val="ro-MD"/>
        </w:rPr>
        <w:t>Comparativ cu anul 2021 acest indice este în creștere cu 54 (14,92%) cauze și cu 145 (40,06%) față de anul 2020.</w:t>
      </w:r>
    </w:p>
    <w:p w:rsidR="005E6C75" w:rsidRPr="00A72A13" w:rsidRDefault="00860BDA" w:rsidP="00B45459">
      <w:pPr>
        <w:pStyle w:val="a7"/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Din totalul de cauze contravenționale în procedura ordinii de recurs s-au examinat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298 (82,32% ) cauze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Comparativ cu 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>8,05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% cauze mai mult față de anul 2021 și cu 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>34,90</w:t>
      </w:r>
      <w:r w:rsidRPr="00A72A13">
        <w:rPr>
          <w:rFonts w:ascii="Times New Roman" w:hAnsi="Times New Roman"/>
          <w:sz w:val="28"/>
          <w:szCs w:val="28"/>
          <w:lang w:val="ro-MD"/>
        </w:rPr>
        <w:t>% față de anul 2020.</w:t>
      </w:r>
    </w:p>
    <w:p w:rsidR="00A84DDB" w:rsidRPr="00A72A13" w:rsidRDefault="00A84DDB" w:rsidP="00B45459">
      <w:pPr>
        <w:pStyle w:val="a7"/>
        <w:spacing w:after="0"/>
        <w:ind w:firstLine="72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5E6C75" w:rsidRPr="00A72A13" w:rsidRDefault="005E6C75" w:rsidP="005E6C75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23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încheierilor menținute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recurs, categoria cauzelor contravenționale, anii 2020-2023</w:t>
      </w:r>
    </w:p>
    <w:p w:rsidR="005E6C75" w:rsidRPr="00A72A13" w:rsidRDefault="005E6C75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5E6C75" w:rsidRPr="00A72A13" w:rsidRDefault="005E6C75" w:rsidP="005E6C75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BB3B67" wp14:editId="4AE2A779">
            <wp:extent cx="6334125" cy="2686050"/>
            <wp:effectExtent l="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E6C75" w:rsidRPr="00A72A13" w:rsidRDefault="00A35216" w:rsidP="00A35216">
      <w:pPr>
        <w:pStyle w:val="a4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În rezult</w:t>
      </w:r>
      <w:r w:rsidR="00C557BE" w:rsidRPr="00A72A13">
        <w:rPr>
          <w:rFonts w:ascii="Times New Roman" w:hAnsi="Times New Roman"/>
          <w:sz w:val="28"/>
          <w:szCs w:val="28"/>
          <w:lang w:val="ro-MD"/>
        </w:rPr>
        <w:t xml:space="preserve">at rata încheierilor menținute 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 xml:space="preserve">examinate în procedura ordinii de recurs </w:t>
      </w:r>
      <w:r w:rsidRPr="00A72A13">
        <w:rPr>
          <w:rFonts w:ascii="Times New Roman" w:hAnsi="Times New Roman"/>
          <w:sz w:val="28"/>
          <w:szCs w:val="28"/>
          <w:lang w:val="ro-MD"/>
        </w:rPr>
        <w:t>pe cauzele contravenționale se prezintă cu 50,67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 xml:space="preserve">% comparativ în creștere cu </w:t>
      </w:r>
      <w:r w:rsidRPr="00A72A13">
        <w:rPr>
          <w:rFonts w:ascii="Times New Roman" w:hAnsi="Times New Roman"/>
          <w:sz w:val="28"/>
          <w:szCs w:val="28"/>
          <w:lang w:val="ro-MD"/>
        </w:rPr>
        <w:t>8,33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>% față de anul 2021 și cu 2,</w:t>
      </w:r>
      <w:r w:rsidRPr="00A72A13">
        <w:rPr>
          <w:rFonts w:ascii="Times New Roman" w:hAnsi="Times New Roman"/>
          <w:sz w:val="28"/>
          <w:szCs w:val="28"/>
          <w:lang w:val="ro-MD"/>
        </w:rPr>
        <w:t>22</w:t>
      </w:r>
      <w:r w:rsidR="005E6C75" w:rsidRPr="00A72A13">
        <w:rPr>
          <w:rFonts w:ascii="Times New Roman" w:hAnsi="Times New Roman"/>
          <w:sz w:val="28"/>
          <w:szCs w:val="28"/>
          <w:lang w:val="ro-MD"/>
        </w:rPr>
        <w:t>% față da anul 2020</w:t>
      </w:r>
      <w:r w:rsidR="00C557BE" w:rsidRPr="00A72A13">
        <w:rPr>
          <w:rFonts w:ascii="Times New Roman" w:hAnsi="Times New Roman"/>
          <w:sz w:val="28"/>
          <w:szCs w:val="28"/>
          <w:lang w:val="ro-MD"/>
        </w:rPr>
        <w:t>.</w:t>
      </w:r>
    </w:p>
    <w:p w:rsidR="005E6C75" w:rsidRPr="00A72A13" w:rsidRDefault="005E6C75" w:rsidP="005E6C75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5E6C75" w:rsidRPr="00A72A13" w:rsidRDefault="005E6C75" w:rsidP="005E6C75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5E6C75" w:rsidRPr="00A72A13" w:rsidRDefault="005E6C75" w:rsidP="005E6C75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24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Rata încheierilor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modificate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 </w:t>
      </w:r>
      <w:r w:rsidRPr="00A72A13">
        <w:rPr>
          <w:rFonts w:ascii="Times New Roman" w:hAnsi="Times New Roman" w:cs="Times New Roman"/>
          <w:b/>
          <w:i/>
          <w:sz w:val="20"/>
          <w:szCs w:val="20"/>
          <w:lang w:val="ro-MD"/>
        </w:rPr>
        <w:t>în procedura ordinii de recurs, categoria cauzelor contravenționale, anii 2020-2023</w:t>
      </w:r>
    </w:p>
    <w:p w:rsidR="005E6C75" w:rsidRPr="00A72A13" w:rsidRDefault="005E6C75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5E6C75" w:rsidRPr="00A72A13" w:rsidRDefault="005E6C75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C987C3" wp14:editId="026A1D62">
            <wp:extent cx="6334125" cy="2581275"/>
            <wp:effectExtent l="0" t="0" r="9525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35216" w:rsidRPr="00A72A13" w:rsidRDefault="00A35216" w:rsidP="00A35216">
      <w:pPr>
        <w:ind w:right="819" w:firstLine="720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>Rata încheierilor modificate examinate în procedura ordinii de recurs pe cauzele contravenț</w:t>
      </w:r>
      <w:r w:rsidR="00C557BE" w:rsidRPr="00A72A13">
        <w:rPr>
          <w:rFonts w:ascii="Times New Roman" w:hAnsi="Times New Roman"/>
          <w:sz w:val="28"/>
          <w:szCs w:val="28"/>
          <w:lang w:val="ro-MD"/>
        </w:rPr>
        <w:t>ionale în perioada anului 2022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este de 43,96% comparativ în scădere cu 10,78% față de anul 2021 și cu 3,98% față da anul 2020.</w:t>
      </w:r>
    </w:p>
    <w:p w:rsidR="005E6C75" w:rsidRPr="00A72A13" w:rsidRDefault="005E6C75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5E6C75" w:rsidRDefault="005E6C75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147A6B" w:rsidRPr="00A72A13" w:rsidRDefault="00147A6B" w:rsidP="00727AE0">
      <w:pPr>
        <w:ind w:right="819"/>
        <w:jc w:val="center"/>
        <w:rPr>
          <w:rFonts w:ascii="Times New Roman" w:hAnsi="Times New Roman" w:cs="Times New Roman"/>
          <w:b/>
          <w:color w:val="00B050"/>
          <w:lang w:val="ro-MD"/>
        </w:rPr>
      </w:pPr>
    </w:p>
    <w:p w:rsidR="005E6C75" w:rsidRPr="00A72A13" w:rsidRDefault="005E6C75" w:rsidP="00B45459">
      <w:pPr>
        <w:ind w:right="819"/>
        <w:rPr>
          <w:rFonts w:ascii="Times New Roman" w:hAnsi="Times New Roman" w:cs="Times New Roman"/>
          <w:b/>
          <w:color w:val="00B050"/>
          <w:lang w:val="ro-MD"/>
        </w:rPr>
      </w:pPr>
    </w:p>
    <w:p w:rsidR="00227D10" w:rsidRPr="00A72A13" w:rsidRDefault="00FE1AE4" w:rsidP="00727AE0">
      <w:pPr>
        <w:ind w:right="819"/>
        <w:jc w:val="center"/>
        <w:rPr>
          <w:rFonts w:ascii="Times New Roman" w:hAnsi="Times New Roman" w:cs="Times New Roman"/>
          <w:b/>
          <w:lang w:val="ro-MD"/>
        </w:rPr>
      </w:pPr>
      <w:r w:rsidRPr="00B64813">
        <w:rPr>
          <w:rFonts w:ascii="Times New Roman" w:hAnsi="Times New Roman" w:cs="Times New Roman"/>
          <w:b/>
          <w:lang w:val="ro-MD"/>
        </w:rPr>
        <w:t>PONDEREA</w:t>
      </w:r>
      <w:r w:rsidRPr="00A72A13">
        <w:rPr>
          <w:rFonts w:ascii="Times New Roman" w:hAnsi="Times New Roman" w:cs="Times New Roman"/>
          <w:b/>
          <w:color w:val="00B050"/>
          <w:lang w:val="ro-MD"/>
        </w:rPr>
        <w:t xml:space="preserve"> </w:t>
      </w:r>
      <w:r w:rsidRPr="00A72A13">
        <w:rPr>
          <w:rFonts w:ascii="Times New Roman" w:hAnsi="Times New Roman" w:cs="Times New Roman"/>
          <w:b/>
          <w:lang w:val="ro-MD"/>
        </w:rPr>
        <w:t>STOCULUI DE CAUZE EXISTENT LA SFÂRȘITUL PERIOADEI DE RAPORTARE</w:t>
      </w:r>
    </w:p>
    <w:p w:rsidR="00142548" w:rsidRPr="00A72A13" w:rsidRDefault="00227D10" w:rsidP="00227D10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  <w:r w:rsidRPr="00A72A13">
        <w:rPr>
          <w:rFonts w:ascii="Times New Roman" w:hAnsi="Times New Roman"/>
          <w:i/>
          <w:lang w:val="ro-MD"/>
        </w:rPr>
        <w:t xml:space="preserve">Tabelul nr. </w:t>
      </w:r>
      <w:r w:rsidR="00C557BE" w:rsidRPr="00A72A13">
        <w:rPr>
          <w:rFonts w:ascii="Times New Roman" w:hAnsi="Times New Roman"/>
          <w:i/>
          <w:lang w:val="ro-MD"/>
        </w:rPr>
        <w:t>25</w:t>
      </w:r>
      <w:r w:rsidRPr="00A72A13">
        <w:rPr>
          <w:rFonts w:ascii="Times New Roman" w:hAnsi="Times New Roman"/>
          <w:i/>
          <w:lang w:val="ro-MD"/>
        </w:rPr>
        <w:t>: Cauzele pendinte la sfârșitul anului, per categorii, î</w:t>
      </w:r>
      <w:r w:rsidR="00BF4277" w:rsidRPr="00A72A13">
        <w:rPr>
          <w:rFonts w:ascii="Times New Roman" w:hAnsi="Times New Roman"/>
          <w:i/>
          <w:lang w:val="ro-MD"/>
        </w:rPr>
        <w:t>ntre 20</w:t>
      </w:r>
      <w:r w:rsidR="00142548" w:rsidRPr="00A72A13">
        <w:rPr>
          <w:rFonts w:ascii="Times New Roman" w:hAnsi="Times New Roman"/>
          <w:i/>
          <w:lang w:val="ro-MD"/>
        </w:rPr>
        <w:t>20</w:t>
      </w:r>
      <w:r w:rsidR="00BF4277" w:rsidRPr="00A72A13">
        <w:rPr>
          <w:rFonts w:ascii="Times New Roman" w:hAnsi="Times New Roman"/>
          <w:i/>
          <w:lang w:val="ro-MD"/>
        </w:rPr>
        <w:t>-</w:t>
      </w:r>
      <w:r w:rsidR="00904333" w:rsidRPr="00A72A13">
        <w:rPr>
          <w:rFonts w:ascii="Times New Roman" w:hAnsi="Times New Roman"/>
          <w:i/>
          <w:lang w:val="ro-MD"/>
        </w:rPr>
        <w:t>2022</w:t>
      </w:r>
    </w:p>
    <w:tbl>
      <w:tblPr>
        <w:tblW w:w="10660" w:type="dxa"/>
        <w:tblInd w:w="108" w:type="dxa"/>
        <w:tblLook w:val="04A0" w:firstRow="1" w:lastRow="0" w:firstColumn="1" w:lastColumn="0" w:noHBand="0" w:noVBand="1"/>
      </w:tblPr>
      <w:tblGrid>
        <w:gridCol w:w="4282"/>
        <w:gridCol w:w="1134"/>
        <w:gridCol w:w="992"/>
        <w:gridCol w:w="1134"/>
        <w:gridCol w:w="1134"/>
        <w:gridCol w:w="992"/>
        <w:gridCol w:w="992"/>
      </w:tblGrid>
      <w:tr w:rsidR="00803A6F" w:rsidRPr="00A72A13" w:rsidTr="00A84DDB">
        <w:trPr>
          <w:trHeight w:val="5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A6F" w:rsidRPr="00A72A13" w:rsidRDefault="00803A6F" w:rsidP="00B10C18">
            <w:pPr>
              <w:pStyle w:val="a4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Tipul de cauze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6F" w:rsidRPr="00A72A13" w:rsidRDefault="00803A6F" w:rsidP="003B104F">
            <w:pPr>
              <w:pStyle w:val="a4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lang w:val="ro-MD"/>
              </w:rPr>
              <w:t>2022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 xml:space="preserve">1. Total cauze civile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21%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 xml:space="preserve">2. Total cauze comerciale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3. Total cauze insolvabilitate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4. Total cauze de contencios administrativ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5. Total cauze penale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59%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6. Total cauze contravenționale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11%</w:t>
            </w:r>
          </w:p>
        </w:tc>
      </w:tr>
      <w:tr w:rsidR="005F279A" w:rsidRPr="00A72A13" w:rsidTr="00A84DDB">
        <w:trPr>
          <w:trHeight w:val="537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79A" w:rsidRPr="00A72A13" w:rsidRDefault="005F279A" w:rsidP="005F279A">
            <w:pPr>
              <w:pStyle w:val="a4"/>
              <w:rPr>
                <w:rFonts w:ascii="Times New Roman" w:hAnsi="Times New Roman" w:cs="Times New Roman"/>
                <w:lang w:val="ro-MD"/>
              </w:rPr>
            </w:pPr>
            <w:r w:rsidRPr="00A72A13">
              <w:rPr>
                <w:rFonts w:ascii="Times New Roman" w:hAnsi="Times New Roman" w:cs="Times New Roman"/>
                <w:lang w:val="ro-MD"/>
              </w:rPr>
              <w:t>Totalul calculat de cauze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79A" w:rsidRPr="00A72A13" w:rsidRDefault="005F279A" w:rsidP="005F2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100%</w:t>
            </w:r>
          </w:p>
        </w:tc>
      </w:tr>
    </w:tbl>
    <w:p w:rsidR="00A0380F" w:rsidRPr="00A72A13" w:rsidRDefault="00A0380F" w:rsidP="00A0380F">
      <w:pPr>
        <w:ind w:right="819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A23610" w:rsidRPr="00A72A13" w:rsidRDefault="00A23610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A23610" w:rsidRPr="00A72A13" w:rsidRDefault="00A23610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227D10" w:rsidRPr="00A72A13" w:rsidRDefault="00A0380F" w:rsidP="00A0380F">
      <w:pPr>
        <w:ind w:right="819"/>
        <w:jc w:val="both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Tabelul nr.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26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:</w:t>
      </w:r>
      <w:r w:rsidR="00136FB6" w:rsidRPr="00A72A13">
        <w:rPr>
          <w:rFonts w:ascii="Times New Roman" w:hAnsi="Times New Roman" w:cs="Times New Roman"/>
          <w:i/>
          <w:sz w:val="20"/>
          <w:szCs w:val="20"/>
          <w:lang w:val="ro-MD"/>
        </w:rPr>
        <w:t>Volumul</w:t>
      </w:r>
      <w:r w:rsidR="00286DEE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cauzelor pendinte la sfârșitul 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perioadei de referință, anii</w:t>
      </w:r>
      <w:r w:rsidR="0065203D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  <w:r w:rsidR="00286DE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0-</w:t>
      </w:r>
      <w:r w:rsidR="00904333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2022</w:t>
      </w:r>
    </w:p>
    <w:p w:rsidR="004B7B4D" w:rsidRPr="00A72A13" w:rsidRDefault="004B7B4D" w:rsidP="004B7B4D">
      <w:pPr>
        <w:ind w:right="819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72A1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21F41E" wp14:editId="319ECFEE">
            <wp:extent cx="6686550" cy="3028950"/>
            <wp:effectExtent l="0" t="0" r="0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B7B4D" w:rsidRPr="00A72A13" w:rsidRDefault="004B7B4D" w:rsidP="005F279A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Volumul cauzelor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 xml:space="preserve">restanță la </w:t>
      </w:r>
      <w:r w:rsidR="00567636" w:rsidRPr="00A72A13">
        <w:rPr>
          <w:rFonts w:ascii="Times New Roman" w:hAnsi="Times New Roman"/>
          <w:b/>
          <w:sz w:val="28"/>
          <w:szCs w:val="28"/>
          <w:lang w:val="ro-MD"/>
        </w:rPr>
        <w:t>sfârșitul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 xml:space="preserve"> perioadei de referință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la Curtea de Apel Cahul în anul </w:t>
      </w:r>
      <w:r w:rsidR="00904333" w:rsidRPr="00A72A13">
        <w:rPr>
          <w:rFonts w:ascii="Times New Roman" w:hAnsi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este </w:t>
      </w:r>
      <w:r w:rsidR="005F279A" w:rsidRPr="00A72A13">
        <w:rPr>
          <w:rFonts w:ascii="Times New Roman" w:hAnsi="Times New Roman"/>
          <w:sz w:val="28"/>
          <w:szCs w:val="28"/>
          <w:lang w:val="ro-MD"/>
        </w:rPr>
        <w:t>576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ce constituie 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>22</w:t>
      </w:r>
      <w:r w:rsidRPr="00A72A13">
        <w:rPr>
          <w:rFonts w:ascii="Times New Roman" w:hAnsi="Times New Roman"/>
          <w:sz w:val="28"/>
          <w:szCs w:val="28"/>
          <w:lang w:val="ro-MD"/>
        </w:rPr>
        <w:t>% din numărul total de cauze aflate în procedură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 xml:space="preserve"> – </w:t>
      </w:r>
      <w:r w:rsidR="005F279A" w:rsidRPr="00A72A13">
        <w:rPr>
          <w:rFonts w:ascii="Times New Roman" w:hAnsi="Times New Roman"/>
          <w:b/>
          <w:sz w:val="28"/>
          <w:szCs w:val="28"/>
          <w:lang w:val="ro-MD"/>
        </w:rPr>
        <w:t>2067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00BC4" w:rsidRPr="00A72A13">
        <w:rPr>
          <w:rFonts w:ascii="Times New Roman" w:hAnsi="Times New Roman"/>
          <w:b/>
          <w:sz w:val="28"/>
          <w:szCs w:val="28"/>
          <w:lang w:val="ro-MD"/>
        </w:rPr>
        <w:t>cauze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4B7B4D" w:rsidRPr="00A72A13" w:rsidRDefault="004B7B4D" w:rsidP="005F279A">
      <w:pPr>
        <w:pStyle w:val="a7"/>
        <w:spacing w:after="0" w:line="276" w:lineRule="auto"/>
        <w:ind w:firstLine="72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Comparativ acest indice este în creștere cu 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>311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cauze sau </w:t>
      </w:r>
      <w:r w:rsidR="005F279A" w:rsidRPr="00A72A13">
        <w:rPr>
          <w:rFonts w:ascii="Times New Roman" w:hAnsi="Times New Roman"/>
          <w:sz w:val="28"/>
          <w:szCs w:val="28"/>
          <w:lang w:val="ro-MD"/>
        </w:rPr>
        <w:t>54</w:t>
      </w:r>
      <w:r w:rsidRPr="00A72A13">
        <w:rPr>
          <w:rFonts w:ascii="Times New Roman" w:hAnsi="Times New Roman"/>
          <w:sz w:val="28"/>
          <w:szCs w:val="28"/>
          <w:lang w:val="ro-MD"/>
        </w:rPr>
        <w:t>% față de 2020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 xml:space="preserve"> și cu 241 cauze sau </w:t>
      </w:r>
      <w:r w:rsidR="005F279A" w:rsidRPr="00A72A13">
        <w:rPr>
          <w:rFonts w:ascii="Times New Roman" w:hAnsi="Times New Roman"/>
          <w:sz w:val="28"/>
          <w:szCs w:val="28"/>
          <w:lang w:val="ro-MD"/>
        </w:rPr>
        <w:t>42</w:t>
      </w:r>
      <w:r w:rsidR="00700BC4" w:rsidRPr="00A72A13">
        <w:rPr>
          <w:rFonts w:ascii="Times New Roman" w:hAnsi="Times New Roman"/>
          <w:sz w:val="28"/>
          <w:szCs w:val="28"/>
          <w:lang w:val="ro-MD"/>
        </w:rPr>
        <w:t>% față de anul 2021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. </w:t>
      </w:r>
    </w:p>
    <w:p w:rsidR="003B104F" w:rsidRPr="00A72A13" w:rsidRDefault="003B104F" w:rsidP="004B7B4D">
      <w:pPr>
        <w:ind w:right="819"/>
        <w:rPr>
          <w:rFonts w:ascii="Times New Roman" w:hAnsi="Times New Roman" w:cs="Times New Roman"/>
          <w:i/>
          <w:color w:val="00B050"/>
          <w:sz w:val="20"/>
          <w:szCs w:val="20"/>
          <w:lang w:val="ro-MD"/>
        </w:rPr>
      </w:pPr>
    </w:p>
    <w:p w:rsidR="00D24B44" w:rsidRPr="00A72A13" w:rsidRDefault="00D24B44" w:rsidP="004B7B4D">
      <w:pPr>
        <w:ind w:right="819"/>
        <w:rPr>
          <w:rFonts w:ascii="Times New Roman" w:hAnsi="Times New Roman" w:cs="Times New Roman"/>
          <w:i/>
          <w:color w:val="00B050"/>
          <w:sz w:val="20"/>
          <w:szCs w:val="20"/>
          <w:lang w:val="ro-MD"/>
        </w:rPr>
      </w:pPr>
    </w:p>
    <w:p w:rsidR="00A0380F" w:rsidRPr="00A72A13" w:rsidRDefault="004B7B4D" w:rsidP="004B7B4D">
      <w:pPr>
        <w:ind w:right="819"/>
        <w:rPr>
          <w:rFonts w:ascii="Times New Roman" w:hAnsi="Times New Roman" w:cs="Times New Roman"/>
          <w:bCs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Tabelul nr. </w:t>
      </w:r>
      <w:r w:rsidR="00C557BE" w:rsidRPr="00A72A13">
        <w:rPr>
          <w:rFonts w:ascii="Times New Roman" w:hAnsi="Times New Roman" w:cs="Times New Roman"/>
          <w:i/>
          <w:sz w:val="20"/>
          <w:szCs w:val="20"/>
          <w:lang w:val="ro-MD"/>
        </w:rPr>
        <w:t>27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Rata cauzelor </w:t>
      </w:r>
      <w:r w:rsidR="00A0380F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pendinte la </w:t>
      </w:r>
      <w:r w:rsidR="00A23610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sfârșitul</w:t>
      </w:r>
      <w:r w:rsidR="00A0380F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 xml:space="preserve"> perioadei de referință per categorii</w:t>
      </w:r>
      <w:r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, anii 2020</w:t>
      </w:r>
      <w:r w:rsidR="00A0380F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-</w:t>
      </w:r>
      <w:r w:rsidR="00904333" w:rsidRPr="00A72A13">
        <w:rPr>
          <w:rFonts w:ascii="Times New Roman" w:hAnsi="Times New Roman" w:cs="Times New Roman"/>
          <w:bCs/>
          <w:i/>
          <w:sz w:val="20"/>
          <w:szCs w:val="20"/>
          <w:lang w:val="ro-MD"/>
        </w:rPr>
        <w:t>2022</w:t>
      </w:r>
    </w:p>
    <w:p w:rsidR="00E71F4E" w:rsidRPr="00A72A13" w:rsidRDefault="001867FA" w:rsidP="006516ED">
      <w:pPr>
        <w:pStyle w:val="a4"/>
        <w:rPr>
          <w:lang w:val="ro-MD"/>
        </w:rPr>
      </w:pPr>
      <w:r w:rsidRPr="00A72A13">
        <w:rPr>
          <w:noProof/>
        </w:rPr>
        <w:drawing>
          <wp:inline distT="0" distB="0" distL="0" distR="0">
            <wp:extent cx="6600825" cy="2981325"/>
            <wp:effectExtent l="0" t="0" r="9525" b="9525"/>
            <wp:docPr id="11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A10DF" w:rsidRPr="00A72A13" w:rsidRDefault="009A10DF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B47DAB" w:rsidRPr="00A72A13" w:rsidRDefault="00376478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cauzelor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restanță la </w:t>
      </w:r>
      <w:r w:rsidR="00567636" w:rsidRPr="00A72A13">
        <w:rPr>
          <w:rFonts w:ascii="Times New Roman" w:hAnsi="Times New Roman" w:cs="Times New Roman"/>
          <w:b/>
          <w:sz w:val="28"/>
          <w:szCs w:val="28"/>
          <w:lang w:val="ro-MD"/>
        </w:rPr>
        <w:t>sfârșitul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perioadei de referință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per categorii de cauze se prezintă pentru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cauzele penale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3B104F" w:rsidRPr="00A72A13">
        <w:rPr>
          <w:rFonts w:ascii="Times New Roman" w:hAnsi="Times New Roman" w:cs="Times New Roman"/>
          <w:sz w:val="28"/>
          <w:szCs w:val="28"/>
          <w:lang w:val="ro-MD"/>
        </w:rPr>
        <w:t>198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3B104F" w:rsidRPr="00A72A13">
        <w:rPr>
          <w:rFonts w:ascii="Times New Roman" w:hAnsi="Times New Roman" w:cs="Times New Roman"/>
          <w:sz w:val="28"/>
          <w:szCs w:val="28"/>
          <w:lang w:val="ro-MD"/>
        </w:rPr>
        <w:t>58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%) cauze mai </w:t>
      </w:r>
      <w:r w:rsidR="005F279A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 de anul 2020</w:t>
      </w:r>
      <w:r w:rsidR="005F279A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148</w:t>
      </w:r>
      <w:r w:rsidR="003B10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D61A30" w:rsidRPr="00A72A13">
        <w:rPr>
          <w:rFonts w:ascii="Times New Roman" w:hAnsi="Times New Roman" w:cs="Times New Roman"/>
          <w:sz w:val="28"/>
          <w:szCs w:val="28"/>
          <w:lang w:val="ro-MD"/>
        </w:rPr>
        <w:t>43%</w:t>
      </w:r>
      <w:r w:rsidR="003B10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) cauze mai </w:t>
      </w:r>
      <w:r w:rsidR="005F279A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="003B104F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 de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 pentru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contravenționale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D61A30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42 (65%)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cauze mai </w:t>
      </w:r>
      <w:r w:rsidR="005F279A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 de anul 2020</w:t>
      </w:r>
      <w:r w:rsidR="00D61A30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29 (45%) cauze mai </w:t>
      </w:r>
      <w:r w:rsidR="005F279A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="00D61A30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față de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; pentru cauzele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civile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comerciale, contencios administrativ, insolvabilitate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353C86" w:rsidRPr="00A72A13">
        <w:rPr>
          <w:rFonts w:ascii="Times New Roman" w:hAnsi="Times New Roman" w:cs="Times New Roman"/>
          <w:sz w:val="28"/>
          <w:szCs w:val="28"/>
          <w:lang w:val="ro-MD"/>
        </w:rPr>
        <w:t>71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353C86" w:rsidRPr="00A72A13">
        <w:rPr>
          <w:rFonts w:ascii="Times New Roman" w:hAnsi="Times New Roman" w:cs="Times New Roman"/>
          <w:sz w:val="28"/>
          <w:szCs w:val="28"/>
          <w:lang w:val="ro-MD"/>
        </w:rPr>
        <w:t>42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%) cauze mai mult față de anul 2020</w:t>
      </w:r>
      <w:r w:rsidR="00D61A30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64 (38%) cauze mai mult față de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A84DDB" w:rsidRPr="00A72A13" w:rsidRDefault="00A84DDB" w:rsidP="00376478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D61A30" w:rsidRPr="00A72A13" w:rsidRDefault="00D61A30" w:rsidP="00946F08">
      <w:pPr>
        <w:tabs>
          <w:tab w:val="left" w:pos="1995"/>
        </w:tabs>
        <w:rPr>
          <w:rFonts w:ascii="Times New Roman" w:hAnsi="Times New Roman" w:cs="Times New Roman"/>
          <w:b/>
          <w:lang w:val="ro-MD"/>
        </w:rPr>
      </w:pPr>
    </w:p>
    <w:p w:rsidR="009A10DF" w:rsidRPr="00A72A13" w:rsidRDefault="009A10DF" w:rsidP="009A10DF">
      <w:pPr>
        <w:tabs>
          <w:tab w:val="left" w:pos="1995"/>
        </w:tabs>
        <w:jc w:val="center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>RATA DE VARIAȚIE A STOCULUI DE CAUZE RESTANȚĂ/PENDINTE</w:t>
      </w:r>
    </w:p>
    <w:p w:rsidR="00A84DDB" w:rsidRPr="00A72A13" w:rsidRDefault="009A10DF" w:rsidP="00FE6D75">
      <w:pPr>
        <w:ind w:right="-1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Rata de variație a stocului de cauze pendinte (indicatorul CR):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Raportul dintre cauzele noi și cauzele soluționate în decursul unei perioade, exprimat în procente. Indicator care oferă o perspectivă bună asupra modului în care un sistem judiciar sau o instanță judiciară gestionează fluxul său de cauze. </w:t>
      </w:r>
    </w:p>
    <w:p w:rsidR="009A10DF" w:rsidRPr="00A72A13" w:rsidRDefault="009A10DF" w:rsidP="00FE6D75">
      <w:pPr>
        <w:ind w:right="-1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O rată de variație a stocului de cauze pendinte mai mare de 100 % indicând faptul că numărul cauzelor pendinte descrește, ceea ce este o tendință pozitivă, dacă se acordă atenția cuvenită și aspectelor legate de calitate. </w:t>
      </w:r>
    </w:p>
    <w:p w:rsidR="009A10DF" w:rsidRPr="00A72A13" w:rsidRDefault="009A10DF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A84DDB" w:rsidRPr="00A72A13" w:rsidRDefault="00A84DDB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A84DDB" w:rsidRPr="00A72A13" w:rsidRDefault="00A84DDB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A84DDB" w:rsidRPr="00A72A13" w:rsidRDefault="00A84DDB" w:rsidP="009A10DF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9A10DF" w:rsidRPr="00A72A13" w:rsidRDefault="009A10DF" w:rsidP="00A84DDB">
      <w:pPr>
        <w:pStyle w:val="a7"/>
        <w:spacing w:after="0"/>
        <w:ind w:firstLine="567"/>
        <w:rPr>
          <w:rFonts w:ascii="Times New Roman" w:hAnsi="Times New Roman"/>
          <w:b/>
          <w:i/>
          <w:lang w:val="ro-MD" w:eastAsia="en-US"/>
        </w:rPr>
      </w:pPr>
      <w:r w:rsidRPr="00A72A13">
        <w:rPr>
          <w:rFonts w:ascii="Times New Roman" w:hAnsi="Times New Roman"/>
          <w:i/>
          <w:lang w:val="ro-MD" w:eastAsia="en-US"/>
        </w:rPr>
        <w:t>Tabelele nr.</w:t>
      </w:r>
      <w:r w:rsidR="00946F08" w:rsidRPr="00A72A13">
        <w:rPr>
          <w:rFonts w:ascii="Times New Roman" w:hAnsi="Times New Roman"/>
          <w:i/>
          <w:lang w:val="ro-MD" w:eastAsia="en-US"/>
        </w:rPr>
        <w:t>28</w:t>
      </w:r>
      <w:r w:rsidRPr="00A72A13">
        <w:rPr>
          <w:rFonts w:ascii="Times New Roman" w:hAnsi="Times New Roman"/>
          <w:i/>
          <w:lang w:val="ro-MD" w:eastAsia="en-US"/>
        </w:rPr>
        <w:t>: Durata lichidării stocului de cauze pendinte și rata de variație a stocului de cauze pendinte pentru toate categoriile de cauze</w:t>
      </w:r>
    </w:p>
    <w:p w:rsidR="009A10DF" w:rsidRPr="00A72A13" w:rsidRDefault="009A10DF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val="ro-MD" w:eastAsia="en-US"/>
        </w:rPr>
      </w:pPr>
    </w:p>
    <w:p w:rsidR="009A10DF" w:rsidRPr="00A72A13" w:rsidRDefault="00353C86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val="ro-MD" w:eastAsia="en-US"/>
        </w:rPr>
      </w:pPr>
      <w:r w:rsidRPr="00A72A13">
        <w:rPr>
          <w:noProof/>
          <w:lang w:val="ru-RU" w:eastAsia="ru-RU"/>
        </w:rPr>
        <w:drawing>
          <wp:inline distT="0" distB="0" distL="0" distR="0" wp14:anchorId="2679C142" wp14:editId="6653C67B">
            <wp:extent cx="6471920" cy="2867025"/>
            <wp:effectExtent l="0" t="0" r="508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705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10DF" w:rsidRPr="00A72A13" w:rsidRDefault="009A10DF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val="ro-MD" w:eastAsia="en-US"/>
        </w:rPr>
      </w:pPr>
    </w:p>
    <w:p w:rsidR="00BF63F9" w:rsidRPr="00A72A13" w:rsidRDefault="00BF63F9" w:rsidP="009A10DF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val="ro-MD" w:eastAsia="en-US"/>
        </w:rPr>
      </w:pPr>
    </w:p>
    <w:p w:rsidR="009A10DF" w:rsidRPr="00A72A13" w:rsidRDefault="00353C86" w:rsidP="003626D7">
      <w:pPr>
        <w:pStyle w:val="a7"/>
        <w:spacing w:after="0"/>
        <w:rPr>
          <w:rFonts w:ascii="Times New Roman" w:hAnsi="Times New Roman"/>
          <w:b/>
          <w:i/>
          <w:sz w:val="24"/>
          <w:szCs w:val="24"/>
          <w:lang w:val="ro-MD" w:eastAsia="en-US"/>
        </w:rPr>
      </w:pPr>
      <w:r w:rsidRPr="00A72A13">
        <w:rPr>
          <w:noProof/>
          <w:lang w:val="ru-RU" w:eastAsia="ru-RU"/>
        </w:rPr>
        <w:drawing>
          <wp:inline distT="0" distB="0" distL="0" distR="0" wp14:anchorId="66ECDF34" wp14:editId="16B7DEEA">
            <wp:extent cx="6122035" cy="3324225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C05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F63F9" w:rsidRPr="00A72A13" w:rsidRDefault="00BF63F9" w:rsidP="009A10DF">
      <w:pPr>
        <w:pStyle w:val="a4"/>
        <w:ind w:firstLine="720"/>
        <w:jc w:val="both"/>
        <w:rPr>
          <w:rFonts w:ascii="Times New Roman" w:hAnsi="Times New Roman" w:cs="Times New Roman"/>
          <w:lang w:val="ro-MD"/>
        </w:rPr>
      </w:pPr>
    </w:p>
    <w:p w:rsidR="009A10DF" w:rsidRPr="00A72A13" w:rsidRDefault="009A10DF" w:rsidP="009A10D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Curtea de Apel Cahul, ca rezultat necesită </w:t>
      </w:r>
      <w:r w:rsidR="00BF63F9" w:rsidRPr="00A72A13">
        <w:rPr>
          <w:rFonts w:ascii="Times New Roman" w:hAnsi="Times New Roman" w:cs="Times New Roman"/>
          <w:sz w:val="28"/>
          <w:szCs w:val="28"/>
          <w:lang w:val="ro-MD"/>
        </w:rPr>
        <w:t>10</w:t>
      </w:r>
      <w:r w:rsidR="00353C86" w:rsidRPr="00A72A13">
        <w:rPr>
          <w:rFonts w:ascii="Times New Roman" w:hAnsi="Times New Roman" w:cs="Times New Roman"/>
          <w:sz w:val="28"/>
          <w:szCs w:val="28"/>
          <w:lang w:val="ro-MD"/>
        </w:rPr>
        <w:t>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zile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soluționarea totalului de cauze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aflate pe rol. Comparativ durata medie a timpului necesa</w:t>
      </w:r>
      <w:r w:rsidR="00BF63F9" w:rsidRPr="00A72A13">
        <w:rPr>
          <w:rFonts w:ascii="Times New Roman" w:hAnsi="Times New Roman" w:cs="Times New Roman"/>
          <w:sz w:val="28"/>
          <w:szCs w:val="28"/>
          <w:lang w:val="ro-MD"/>
        </w:rPr>
        <w:t>r pentru soluționarea cauzelor î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n 2020 este de 53 de zile</w:t>
      </w:r>
      <w:r w:rsidR="00BF63F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în 2021 – 59 zile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147A6B" w:rsidRDefault="009A10DF" w:rsidP="00176C46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de variație a stocului de cauze pendinte, este un indicator conex duratei lichidării stocului de cauze pendinte, și se prezintă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6137AF" w:rsidRPr="00A72A13">
        <w:rPr>
          <w:rFonts w:ascii="Times New Roman" w:hAnsi="Times New Roman" w:cs="Times New Roman"/>
          <w:sz w:val="28"/>
          <w:szCs w:val="28"/>
          <w:lang w:val="ro-MD"/>
        </w:rPr>
        <w:t>90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6137AF" w:rsidRPr="00A72A13">
        <w:rPr>
          <w:rFonts w:ascii="Times New Roman" w:hAnsi="Times New Roman" w:cs="Times New Roman"/>
          <w:sz w:val="28"/>
          <w:szCs w:val="28"/>
          <w:lang w:val="ro-MD"/>
        </w:rPr>
        <w:t>, mai mic cu 7% comparativ cu anii 2020 și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147A6B" w:rsidRPr="00A72A13" w:rsidRDefault="00147A6B" w:rsidP="00946F0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D76F0" w:rsidRPr="00A72A13" w:rsidRDefault="00376478" w:rsidP="00376478">
      <w:pPr>
        <w:pStyle w:val="a7"/>
        <w:ind w:firstLine="720"/>
        <w:jc w:val="center"/>
        <w:rPr>
          <w:rFonts w:ascii="Times New Roman" w:hAnsi="Times New Roman"/>
          <w:b/>
          <w:sz w:val="28"/>
          <w:szCs w:val="28"/>
          <w:lang w:val="ro-MD" w:eastAsia="en-US"/>
        </w:rPr>
      </w:pPr>
      <w:r w:rsidRPr="00A72A13">
        <w:rPr>
          <w:rFonts w:ascii="Times New Roman" w:hAnsi="Times New Roman"/>
          <w:b/>
          <w:sz w:val="28"/>
          <w:szCs w:val="28"/>
          <w:lang w:val="ro-MD" w:eastAsia="en-US"/>
        </w:rPr>
        <w:t>DURATA (VÂRSTA) DOSARELOR PE ROL</w:t>
      </w:r>
    </w:p>
    <w:p w:rsidR="009A10DF" w:rsidRPr="00A72A13" w:rsidRDefault="003626D7" w:rsidP="003626D7">
      <w:pPr>
        <w:ind w:right="-1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Vârsta cauzelor pendinte (indicatorul APC):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Durata cauzelor active, pendinte, măsurată în ani/zile de la data înregistrării dosarului pe rolul instanței. Cauzele înregistrate în instanță, însă nesoluționate formează volumul de cauze pendinte al instanței.</w:t>
      </w:r>
    </w:p>
    <w:p w:rsidR="009A10DF" w:rsidRPr="00A72A13" w:rsidRDefault="009A10DF" w:rsidP="00376478">
      <w:pPr>
        <w:pStyle w:val="a7"/>
        <w:ind w:firstLine="720"/>
        <w:jc w:val="center"/>
        <w:rPr>
          <w:rFonts w:ascii="Times New Roman" w:hAnsi="Times New Roman"/>
          <w:b/>
          <w:sz w:val="22"/>
          <w:szCs w:val="22"/>
          <w:lang w:val="ro-MD" w:eastAsia="en-US"/>
        </w:rPr>
      </w:pPr>
    </w:p>
    <w:p w:rsidR="00E6400A" w:rsidRPr="00A72A13" w:rsidRDefault="0043118C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Ta</w:t>
      </w:r>
      <w:r w:rsidRPr="00A72A13">
        <w:rPr>
          <w:rStyle w:val="a3"/>
          <w:rFonts w:ascii="Times New Roman" w:hAnsi="Times New Roman" w:cs="Times New Roman"/>
          <w:i/>
          <w:sz w:val="20"/>
          <w:szCs w:val="20"/>
          <w:lang w:val="ro-MD"/>
        </w:rPr>
        <w:t>b</w:t>
      </w: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>elul nr.</w:t>
      </w:r>
      <w:r w:rsidR="00946F08" w:rsidRPr="00A72A13">
        <w:rPr>
          <w:rFonts w:ascii="Times New Roman" w:hAnsi="Times New Roman" w:cs="Times New Roman"/>
          <w:i/>
          <w:sz w:val="20"/>
          <w:szCs w:val="20"/>
          <w:lang w:val="ro-MD"/>
        </w:rPr>
        <w:t>29</w:t>
      </w:r>
      <w:r w:rsidR="001867FA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: </w:t>
      </w:r>
      <w:r w:rsidR="00A461E3" w:rsidRPr="00A72A13">
        <w:rPr>
          <w:rFonts w:ascii="Times New Roman" w:hAnsi="Times New Roman" w:cs="Times New Roman"/>
          <w:i/>
          <w:sz w:val="20"/>
          <w:szCs w:val="20"/>
          <w:lang w:val="ro-MD"/>
        </w:rPr>
        <w:t>Durata (vârsta) dosarelor pe rol în perioada anilor 202</w:t>
      </w:r>
      <w:r w:rsidR="00E6400A" w:rsidRPr="00A72A13">
        <w:rPr>
          <w:rFonts w:ascii="Times New Roman" w:hAnsi="Times New Roman" w:cs="Times New Roman"/>
          <w:i/>
          <w:sz w:val="20"/>
          <w:szCs w:val="20"/>
          <w:lang w:val="ro-MD"/>
        </w:rPr>
        <w:t>0-</w:t>
      </w:r>
      <w:r w:rsidR="00904333" w:rsidRPr="00A72A13">
        <w:rPr>
          <w:rFonts w:ascii="Times New Roman" w:hAnsi="Times New Roman" w:cs="Times New Roman"/>
          <w:i/>
          <w:sz w:val="20"/>
          <w:szCs w:val="20"/>
          <w:lang w:val="ro-MD"/>
        </w:rPr>
        <w:t>2022</w:t>
      </w:r>
      <w:r w:rsidR="00601AFE"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</w:t>
      </w: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  <w:r w:rsidRPr="00A72A1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08A23D" wp14:editId="7544D5AD">
            <wp:extent cx="6334125" cy="2581275"/>
            <wp:effectExtent l="0" t="0" r="9525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E6400A" w:rsidRPr="00A72A13" w:rsidRDefault="00E6400A" w:rsidP="00376478">
      <w:pPr>
        <w:pStyle w:val="a4"/>
        <w:rPr>
          <w:rFonts w:ascii="Times New Roman" w:hAnsi="Times New Roman" w:cs="Times New Roman"/>
          <w:i/>
          <w:sz w:val="20"/>
          <w:szCs w:val="20"/>
          <w:lang w:val="ro-MD"/>
        </w:rPr>
      </w:pPr>
    </w:p>
    <w:p w:rsidR="003626D7" w:rsidRPr="00A72A13" w:rsidRDefault="00614787" w:rsidP="00614787">
      <w:pPr>
        <w:pStyle w:val="a4"/>
        <w:rPr>
          <w:rFonts w:ascii="Times New Roman" w:hAnsi="Times New Roman" w:cs="Times New Roman"/>
          <w:b/>
          <w:i/>
          <w:sz w:val="20"/>
          <w:szCs w:val="20"/>
          <w:lang w:val="ro-MD"/>
        </w:rPr>
      </w:pPr>
      <w:r w:rsidRPr="00A72A13">
        <w:rPr>
          <w:rFonts w:ascii="Times New Roman" w:hAnsi="Times New Roman" w:cs="Times New Roman"/>
          <w:i/>
          <w:sz w:val="20"/>
          <w:szCs w:val="20"/>
          <w:lang w:val="ro-MD"/>
        </w:rPr>
        <w:t xml:space="preserve">    </w:t>
      </w:r>
    </w:p>
    <w:p w:rsidR="001867FA" w:rsidRPr="00A72A13" w:rsidRDefault="001867FA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La sfârșitul anului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E6BB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dosarele pendinte aflate pe rol mai puțin </w:t>
      </w:r>
      <w:r w:rsidR="00567636" w:rsidRPr="00A72A13">
        <w:rPr>
          <w:rFonts w:ascii="Times New Roman" w:hAnsi="Times New Roman" w:cs="Times New Roman"/>
          <w:sz w:val="28"/>
          <w:szCs w:val="28"/>
          <w:lang w:val="ro-MD"/>
        </w:rPr>
        <w:t>decât</w:t>
      </w:r>
      <w:r w:rsidR="00BE6BB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termenul procedural de reper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reprezintă </w:t>
      </w:r>
      <w:r w:rsidR="00614787" w:rsidRPr="00A72A13">
        <w:rPr>
          <w:rFonts w:ascii="Times New Roman" w:hAnsi="Times New Roman" w:cs="Times New Roman"/>
          <w:sz w:val="28"/>
          <w:szCs w:val="28"/>
          <w:lang w:val="ro-MD"/>
        </w:rPr>
        <w:t>71,82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BE6BB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 </w:t>
      </w:r>
      <w:r w:rsidR="00A6743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comparativ acest indice </w:t>
      </w:r>
      <w:r w:rsidR="00BE6BB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anul 2020 </w:t>
      </w:r>
      <w:r w:rsidR="00A6743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constituie </w:t>
      </w:r>
      <w:r w:rsidR="00614787" w:rsidRPr="00A72A13">
        <w:rPr>
          <w:rFonts w:ascii="Times New Roman" w:hAnsi="Times New Roman" w:cs="Times New Roman"/>
          <w:sz w:val="28"/>
          <w:szCs w:val="28"/>
          <w:lang w:val="ro-MD"/>
        </w:rPr>
        <w:t>75,62% iar în anul 2021 acest procent constituie 80,00%.</w:t>
      </w:r>
    </w:p>
    <w:p w:rsidR="003626D7" w:rsidRPr="00A72A13" w:rsidRDefault="003626D7" w:rsidP="00567636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626D7" w:rsidRPr="00A72A13" w:rsidRDefault="003626D7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FF488D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 xml:space="preserve">                      </w:t>
      </w: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147A6B" w:rsidRDefault="00147A6B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147A6B" w:rsidRPr="00A72A13" w:rsidRDefault="00147A6B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946F08">
      <w:pPr>
        <w:spacing w:after="0" w:line="276" w:lineRule="auto"/>
        <w:rPr>
          <w:rFonts w:ascii="Times New Roman" w:hAnsi="Times New Roman" w:cs="Times New Roman"/>
          <w:b/>
          <w:lang w:val="ro-MD"/>
        </w:rPr>
      </w:pPr>
    </w:p>
    <w:p w:rsidR="0042100F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lang w:val="ro-MD"/>
        </w:rPr>
      </w:pPr>
    </w:p>
    <w:p w:rsidR="001E3B22" w:rsidRPr="00A72A13" w:rsidRDefault="0042100F" w:rsidP="00FF488D">
      <w:pPr>
        <w:spacing w:after="0"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lang w:val="ro-MD"/>
        </w:rPr>
        <w:t xml:space="preserve">                         </w:t>
      </w:r>
      <w:r w:rsidR="00FF488D" w:rsidRPr="00A72A13">
        <w:rPr>
          <w:rFonts w:ascii="Times New Roman" w:hAnsi="Times New Roman" w:cs="Times New Roman"/>
          <w:b/>
          <w:lang w:val="ro-MD"/>
        </w:rPr>
        <w:t xml:space="preserve"> </w:t>
      </w:r>
      <w:r w:rsidR="007D34FF" w:rsidRPr="00A72A13">
        <w:rPr>
          <w:rFonts w:ascii="Times New Roman" w:hAnsi="Times New Roman" w:cs="Times New Roman"/>
          <w:b/>
          <w:sz w:val="28"/>
          <w:szCs w:val="28"/>
          <w:lang w:val="ro-MD"/>
        </w:rPr>
        <w:t>CALITATEA ACTULUI DE JUSTIȚIE</w:t>
      </w:r>
    </w:p>
    <w:p w:rsidR="00762CFB" w:rsidRPr="00A72A13" w:rsidRDefault="00E71F4E" w:rsidP="00FF488D">
      <w:pPr>
        <w:pStyle w:val="a4"/>
        <w:spacing w:line="276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MD" w:eastAsia="en-US"/>
        </w:rPr>
      </w:pPr>
      <w:r w:rsidRPr="00A72A13">
        <w:rPr>
          <w:rFonts w:ascii="Times New Roman" w:hAnsi="Times New Roman"/>
          <w:b/>
          <w:sz w:val="28"/>
          <w:szCs w:val="28"/>
          <w:lang w:val="ro-MD" w:eastAsia="en-US"/>
        </w:rPr>
        <w:t xml:space="preserve">RATA DECIZIILOR </w:t>
      </w:r>
      <w:r w:rsidR="003C7798">
        <w:rPr>
          <w:rFonts w:ascii="Times New Roman" w:hAnsi="Times New Roman"/>
          <w:b/>
          <w:sz w:val="28"/>
          <w:szCs w:val="28"/>
          <w:lang w:val="ro-MD" w:eastAsia="en-US"/>
        </w:rPr>
        <w:t>CONTESTATE</w:t>
      </w:r>
      <w:r w:rsidRPr="00A72A13">
        <w:rPr>
          <w:rFonts w:ascii="Times New Roman" w:hAnsi="Times New Roman"/>
          <w:b/>
          <w:sz w:val="28"/>
          <w:szCs w:val="28"/>
          <w:lang w:val="ro-MD" w:eastAsia="en-US"/>
        </w:rPr>
        <w:t>, ANULATE/MODIFICATE</w:t>
      </w:r>
    </w:p>
    <w:p w:rsidR="00FF488D" w:rsidRPr="00A72A13" w:rsidRDefault="00FF488D" w:rsidP="00FF488D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FF488D" w:rsidRPr="00A72A13" w:rsidRDefault="00FF488D" w:rsidP="00946F08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 xml:space="preserve">Rata deciziilor </w:t>
      </w:r>
      <w:r w:rsidR="00561F74">
        <w:rPr>
          <w:rFonts w:ascii="Times New Roman" w:hAnsi="Times New Roman"/>
          <w:b/>
          <w:sz w:val="28"/>
          <w:szCs w:val="28"/>
          <w:lang w:val="ro-MD"/>
        </w:rPr>
        <w:t xml:space="preserve">contestate cu 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>recurs</w:t>
      </w:r>
      <w:r w:rsidR="00561F74">
        <w:rPr>
          <w:rFonts w:ascii="Times New Roman" w:hAnsi="Times New Roman"/>
          <w:b/>
          <w:sz w:val="28"/>
          <w:szCs w:val="28"/>
          <w:lang w:val="ro-MD"/>
        </w:rPr>
        <w:t>,</w:t>
      </w:r>
      <w:r w:rsidRPr="00A72A13">
        <w:rPr>
          <w:rFonts w:ascii="Times New Roman" w:hAnsi="Times New Roman"/>
          <w:b/>
          <w:sz w:val="28"/>
          <w:szCs w:val="28"/>
          <w:lang w:val="ro-MD"/>
        </w:rPr>
        <w:t xml:space="preserve"> rata deciziilor modificate sau anulate (AR, QMD):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FF488D" w:rsidRPr="00A72A13" w:rsidRDefault="00FF488D" w:rsidP="003626D7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sz w:val="28"/>
          <w:szCs w:val="28"/>
          <w:lang w:val="ro-MD"/>
        </w:rPr>
        <w:t xml:space="preserve">În sensul prezentului raport, rata deciziilor </w:t>
      </w:r>
      <w:r w:rsidR="00561F74">
        <w:rPr>
          <w:rFonts w:ascii="Times New Roman" w:hAnsi="Times New Roman"/>
          <w:sz w:val="28"/>
          <w:szCs w:val="28"/>
          <w:lang w:val="ro-MD"/>
        </w:rPr>
        <w:t xml:space="preserve">contestate cu 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recurs este considerată rata exprimată în procente a deciziilor judecătorești contestate raportate la numărul total al deciziilor adoptate într-o anumită perioadă de timp. Rata deciziilor modificate sau anulate este rata exprimată în procente a deciziilor judecătorești modificate sau anulate de instanța ierarhic superioară, în raport cu numărul total al deciziilor adoptate într-o anumită perioadă de timp. Acești indicatori reflectă potențialul limitat al statisticilor judiciare existente în vederea evaluării calității deciziilor. </w:t>
      </w:r>
    </w:p>
    <w:p w:rsidR="0042100F" w:rsidRPr="00A72A13" w:rsidRDefault="0042100F" w:rsidP="003626D7">
      <w:pPr>
        <w:pStyle w:val="a7"/>
        <w:tabs>
          <w:tab w:val="left" w:pos="12333"/>
        </w:tabs>
        <w:spacing w:after="120" w:line="276" w:lineRule="auto"/>
        <w:ind w:right="-2" w:firstLine="567"/>
        <w:jc w:val="both"/>
        <w:outlineLvl w:val="0"/>
        <w:rPr>
          <w:rFonts w:ascii="Times New Roman" w:hAnsi="Times New Roman"/>
          <w:sz w:val="22"/>
          <w:szCs w:val="22"/>
          <w:lang w:val="ro-MD"/>
        </w:rPr>
      </w:pPr>
    </w:p>
    <w:p w:rsidR="00762CFB" w:rsidRPr="00A72A13" w:rsidRDefault="0043118C" w:rsidP="0043118C">
      <w:pPr>
        <w:pStyle w:val="a7"/>
        <w:spacing w:after="0"/>
        <w:rPr>
          <w:rFonts w:ascii="Times New Roman" w:hAnsi="Times New Roman"/>
          <w:i/>
          <w:lang w:val="ro-MD" w:eastAsia="en-US"/>
        </w:rPr>
      </w:pPr>
      <w:r w:rsidRPr="00A72A13">
        <w:rPr>
          <w:rFonts w:ascii="Times New Roman" w:hAnsi="Times New Roman"/>
          <w:i/>
          <w:lang w:val="ro-MD" w:eastAsia="en-US"/>
        </w:rPr>
        <w:t>Tabelul nr.</w:t>
      </w:r>
      <w:r w:rsidR="00946F08" w:rsidRPr="00A72A13">
        <w:rPr>
          <w:rFonts w:ascii="Times New Roman" w:hAnsi="Times New Roman"/>
          <w:i/>
          <w:lang w:val="ro-MD" w:eastAsia="en-US"/>
        </w:rPr>
        <w:t>30</w:t>
      </w:r>
      <w:r w:rsidRPr="00A72A13">
        <w:rPr>
          <w:rFonts w:ascii="Times New Roman" w:hAnsi="Times New Roman"/>
          <w:i/>
          <w:lang w:val="ro-MD" w:eastAsia="en-US"/>
        </w:rPr>
        <w:t xml:space="preserve">: Rata </w:t>
      </w:r>
      <w:r w:rsidR="003C7798">
        <w:rPr>
          <w:rFonts w:ascii="Times New Roman" w:hAnsi="Times New Roman"/>
          <w:i/>
          <w:lang w:val="ro-MD" w:eastAsia="en-US"/>
        </w:rPr>
        <w:t xml:space="preserve">recursurilor contestate la CSJ, </w:t>
      </w:r>
      <w:r w:rsidR="00762CFB" w:rsidRPr="00A72A13">
        <w:rPr>
          <w:rFonts w:ascii="Times New Roman" w:hAnsi="Times New Roman"/>
          <w:i/>
          <w:lang w:val="ro-MD" w:eastAsia="en-US"/>
        </w:rPr>
        <w:t xml:space="preserve"> </w:t>
      </w:r>
      <w:r w:rsidRPr="00A72A13">
        <w:rPr>
          <w:rFonts w:ascii="Times New Roman" w:hAnsi="Times New Roman"/>
          <w:i/>
          <w:lang w:val="ro-MD" w:eastAsia="en-US"/>
        </w:rPr>
        <w:t>pentru toate tipurile de cauze</w:t>
      </w:r>
    </w:p>
    <w:p w:rsidR="0042100F" w:rsidRPr="00A72A13" w:rsidRDefault="0042100F" w:rsidP="0043118C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FF488D" w:rsidRPr="00A72A13" w:rsidRDefault="00FF488D" w:rsidP="0043118C">
      <w:pPr>
        <w:pStyle w:val="a7"/>
        <w:spacing w:after="0"/>
        <w:rPr>
          <w:rFonts w:ascii="Times New Roman" w:hAnsi="Times New Roman"/>
          <w:i/>
          <w:lang w:val="ro-MD" w:eastAsia="en-US"/>
        </w:rPr>
      </w:pPr>
    </w:p>
    <w:p w:rsidR="00DA68C5" w:rsidRPr="00A72A13" w:rsidRDefault="00646B66" w:rsidP="00116739">
      <w:pPr>
        <w:pStyle w:val="a7"/>
        <w:tabs>
          <w:tab w:val="left" w:pos="9781"/>
        </w:tabs>
        <w:spacing w:after="0"/>
        <w:rPr>
          <w:rFonts w:ascii="Times New Roman" w:hAnsi="Times New Roman"/>
          <w:i/>
          <w:sz w:val="24"/>
          <w:szCs w:val="24"/>
          <w:lang w:val="ro-MD" w:eastAsia="en-US"/>
        </w:rPr>
      </w:pPr>
      <w:r w:rsidRPr="00A72A13">
        <w:rPr>
          <w:noProof/>
          <w:lang w:val="ru-RU" w:eastAsia="ru-RU"/>
        </w:rPr>
        <w:drawing>
          <wp:inline distT="0" distB="0" distL="0" distR="0" wp14:anchorId="681A86D3" wp14:editId="5CB33F37">
            <wp:extent cx="6559550" cy="3244132"/>
            <wp:effectExtent l="0" t="0" r="0" b="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516ED" w:rsidRPr="00A72A13" w:rsidRDefault="006516ED" w:rsidP="007D34FF">
      <w:pPr>
        <w:pStyle w:val="a4"/>
        <w:ind w:firstLine="720"/>
        <w:jc w:val="both"/>
        <w:rPr>
          <w:rFonts w:ascii="Times New Roman" w:hAnsi="Times New Roman" w:cs="Times New Roman"/>
          <w:b/>
          <w:lang w:val="ro-MD"/>
        </w:rPr>
      </w:pPr>
    </w:p>
    <w:p w:rsidR="00FF488D" w:rsidRPr="00A72A13" w:rsidRDefault="00FF488D" w:rsidP="007D34FF">
      <w:pPr>
        <w:pStyle w:val="a4"/>
        <w:ind w:firstLine="720"/>
        <w:jc w:val="both"/>
        <w:rPr>
          <w:rFonts w:ascii="Times New Roman" w:hAnsi="Times New Roman" w:cs="Times New Roman"/>
          <w:b/>
          <w:lang w:val="ro-MD"/>
        </w:rPr>
      </w:pPr>
    </w:p>
    <w:p w:rsidR="008E2FC2" w:rsidRPr="00A72A13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Rata </w:t>
      </w:r>
      <w:r w:rsidR="003C7798">
        <w:rPr>
          <w:rFonts w:ascii="Times New Roman" w:hAnsi="Times New Roman" w:cs="Times New Roman"/>
          <w:b/>
          <w:sz w:val="28"/>
          <w:szCs w:val="28"/>
          <w:lang w:val="ro-MD"/>
        </w:rPr>
        <w:t xml:space="preserve">recursurilor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Curții de Apel Cahul depuse la Curtea Supremă de Justiție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11,8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din numărul  deciziilor instanței. </w:t>
      </w:r>
    </w:p>
    <w:p w:rsidR="00762CFB" w:rsidRPr="00A72A13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Comparativ cu anul 2020 rata </w:t>
      </w:r>
      <w:r w:rsidR="003C7798">
        <w:rPr>
          <w:rFonts w:ascii="Times New Roman" w:hAnsi="Times New Roman" w:cs="Times New Roman"/>
          <w:sz w:val="28"/>
          <w:szCs w:val="28"/>
          <w:lang w:val="ro-MD"/>
        </w:rPr>
        <w:t>recursurilor</w:t>
      </w:r>
      <w:r w:rsidR="003C779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depuse este în scădere cu 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5,2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% 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, iar în anul 2021 – cu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2,9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762CFB" w:rsidRPr="00A72A13" w:rsidRDefault="00762CFB" w:rsidP="007D34F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Rata deciziilor modificate/anulate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3,6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%, cu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0,8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mai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mic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 în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anul 2020 și cu 0,3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mai mare 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>ca în anul 2021.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10641" w:rsidRPr="00A72A13" w:rsidRDefault="008305A7" w:rsidP="006516ED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Respectiv, se</w:t>
      </w:r>
      <w:r w:rsidR="00DA68C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observă o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îmbunătățire</w:t>
      </w:r>
      <w:r w:rsidR="00DA68C5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 calității deciziilor instanței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="006516ED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FF488D" w:rsidRPr="00A72A13" w:rsidRDefault="00FF488D" w:rsidP="00FF488D">
      <w:pPr>
        <w:pStyle w:val="a4"/>
        <w:rPr>
          <w:rFonts w:ascii="Times New Roman" w:hAnsi="Times New Roman"/>
          <w:b/>
          <w:lang w:val="ro-MD" w:eastAsia="en-US"/>
        </w:rPr>
      </w:pPr>
    </w:p>
    <w:p w:rsidR="00E96169" w:rsidRPr="00A72A13" w:rsidRDefault="007D34FF" w:rsidP="006D5D31">
      <w:pPr>
        <w:pStyle w:val="a4"/>
        <w:ind w:firstLine="720"/>
        <w:jc w:val="center"/>
        <w:rPr>
          <w:rFonts w:ascii="Times New Roman" w:hAnsi="Times New Roman"/>
          <w:b/>
          <w:sz w:val="24"/>
          <w:szCs w:val="24"/>
          <w:lang w:val="ro-MD" w:eastAsia="en-US"/>
        </w:rPr>
      </w:pPr>
      <w:r w:rsidRPr="00A72A13">
        <w:rPr>
          <w:rFonts w:ascii="Times New Roman" w:hAnsi="Times New Roman"/>
          <w:b/>
          <w:sz w:val="24"/>
          <w:szCs w:val="24"/>
          <w:lang w:val="ro-MD" w:eastAsia="en-US"/>
        </w:rPr>
        <w:t xml:space="preserve">RATA DECIZIILOR </w:t>
      </w:r>
      <w:r w:rsidR="003C7798">
        <w:rPr>
          <w:rFonts w:ascii="Times New Roman" w:hAnsi="Times New Roman"/>
          <w:b/>
          <w:sz w:val="24"/>
          <w:szCs w:val="24"/>
          <w:lang w:val="ro-MD" w:eastAsia="en-US"/>
        </w:rPr>
        <w:t>CONTESTATE</w:t>
      </w:r>
      <w:r w:rsidRPr="00A72A13">
        <w:rPr>
          <w:rFonts w:ascii="Times New Roman" w:hAnsi="Times New Roman"/>
          <w:b/>
          <w:sz w:val="24"/>
          <w:szCs w:val="24"/>
          <w:lang w:val="ro-MD" w:eastAsia="en-US"/>
        </w:rPr>
        <w:t>, ANULATE/MODIFICATE PENTRU CATEGORIA DE CAUZE PENALE</w:t>
      </w:r>
    </w:p>
    <w:p w:rsidR="00D61A30" w:rsidRPr="00A72A13" w:rsidRDefault="00D61A30" w:rsidP="006D5D31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E81FAF" w:rsidRPr="00A72A13" w:rsidRDefault="00E96169" w:rsidP="00657BCD">
      <w:pPr>
        <w:pStyle w:val="a7"/>
        <w:spacing w:after="0"/>
        <w:rPr>
          <w:rFonts w:ascii="Times New Roman" w:hAnsi="Times New Roman"/>
          <w:i/>
          <w:lang w:val="ro-MD" w:eastAsia="en-US"/>
        </w:rPr>
      </w:pPr>
      <w:r w:rsidRPr="00A72A13">
        <w:rPr>
          <w:rFonts w:ascii="Times New Roman" w:hAnsi="Times New Roman"/>
          <w:i/>
          <w:lang w:val="ro-MD" w:eastAsia="en-US"/>
        </w:rPr>
        <w:t>Tabelul nr.</w:t>
      </w:r>
      <w:r w:rsidR="00946F08" w:rsidRPr="00A72A13">
        <w:rPr>
          <w:rFonts w:ascii="Times New Roman" w:hAnsi="Times New Roman"/>
          <w:i/>
          <w:lang w:val="ro-MD" w:eastAsia="en-US"/>
        </w:rPr>
        <w:t>31</w:t>
      </w:r>
      <w:r w:rsidRPr="00A72A13">
        <w:rPr>
          <w:rFonts w:ascii="Times New Roman" w:hAnsi="Times New Roman"/>
          <w:i/>
          <w:lang w:val="ro-MD" w:eastAsia="en-US"/>
        </w:rPr>
        <w:t xml:space="preserve">: </w:t>
      </w:r>
      <w:r w:rsidR="008E2FC2" w:rsidRPr="00A72A13">
        <w:rPr>
          <w:rFonts w:ascii="Times New Roman" w:hAnsi="Times New Roman"/>
          <w:i/>
          <w:lang w:val="ro-MD" w:eastAsia="en-US"/>
        </w:rPr>
        <w:t>Rata</w:t>
      </w:r>
      <w:r w:rsidR="003C7798">
        <w:rPr>
          <w:rFonts w:ascii="Times New Roman" w:hAnsi="Times New Roman"/>
          <w:i/>
          <w:lang w:val="ro-MD" w:eastAsia="en-US"/>
        </w:rPr>
        <w:t xml:space="preserve"> recursurilor</w:t>
      </w:r>
      <w:r w:rsidR="008E2FC2" w:rsidRPr="00A72A13">
        <w:rPr>
          <w:rFonts w:ascii="Times New Roman" w:hAnsi="Times New Roman"/>
          <w:i/>
          <w:lang w:val="ro-MD" w:eastAsia="en-US"/>
        </w:rPr>
        <w:t xml:space="preserve"> </w:t>
      </w:r>
      <w:r w:rsidR="003C7798">
        <w:rPr>
          <w:rFonts w:ascii="Times New Roman" w:hAnsi="Times New Roman"/>
          <w:i/>
          <w:lang w:val="ro-MD" w:eastAsia="en-US"/>
        </w:rPr>
        <w:t>contestate</w:t>
      </w:r>
      <w:r w:rsidR="008E2FC2" w:rsidRPr="00A72A13">
        <w:rPr>
          <w:rFonts w:ascii="Times New Roman" w:hAnsi="Times New Roman"/>
          <w:i/>
          <w:lang w:val="ro-MD" w:eastAsia="en-US"/>
        </w:rPr>
        <w:t xml:space="preserve"> și celor anulate/modificate </w:t>
      </w:r>
      <w:r w:rsidRPr="00A72A13">
        <w:rPr>
          <w:rFonts w:ascii="Times New Roman" w:hAnsi="Times New Roman"/>
          <w:i/>
          <w:lang w:val="ro-MD" w:eastAsia="en-US"/>
        </w:rPr>
        <w:t>pentru cauze penale</w:t>
      </w:r>
    </w:p>
    <w:p w:rsidR="00A137D4" w:rsidRPr="00A72A13" w:rsidRDefault="00A24009" w:rsidP="00646B66">
      <w:pPr>
        <w:pStyle w:val="a4"/>
        <w:rPr>
          <w:lang w:val="ro-MD"/>
        </w:rPr>
      </w:pPr>
      <w:r w:rsidRPr="00A72A13">
        <w:rPr>
          <w:noProof/>
        </w:rPr>
        <w:drawing>
          <wp:inline distT="0" distB="0" distL="0" distR="0" wp14:anchorId="21755134" wp14:editId="4D5564E1">
            <wp:extent cx="6663193" cy="2258170"/>
            <wp:effectExtent l="0" t="0" r="4445" b="889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7F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8E2FC2" w:rsidRPr="00A72A13" w:rsidRDefault="008E2FC2" w:rsidP="006D5D31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Rata </w:t>
      </w:r>
      <w:r w:rsidR="00103D89">
        <w:rPr>
          <w:rFonts w:ascii="Times New Roman" w:hAnsi="Times New Roman" w:cs="Times New Roman"/>
          <w:sz w:val="28"/>
          <w:szCs w:val="28"/>
          <w:lang w:val="ro-MD"/>
        </w:rPr>
        <w:t xml:space="preserve">recursurilor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pe cauzele penale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ale Curții de Apel Cahul depuse la Curtea Supremă de Justiție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>10,2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din numărul  deciziilor instanței. </w:t>
      </w:r>
    </w:p>
    <w:p w:rsidR="008E2FC2" w:rsidRPr="00A72A13" w:rsidRDefault="008E2FC2" w:rsidP="007D34F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Comparativ cu anul 2020 rata </w:t>
      </w:r>
      <w:r w:rsidR="00103D89">
        <w:rPr>
          <w:rFonts w:ascii="Times New Roman" w:hAnsi="Times New Roman" w:cs="Times New Roman"/>
          <w:sz w:val="28"/>
          <w:szCs w:val="28"/>
          <w:lang w:val="ro-MD"/>
        </w:rPr>
        <w:t>recursurilor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depuse pe cauzele penale este în scădere cu  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>7,3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%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anul 2021 – 2,3%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.</w:t>
      </w:r>
    </w:p>
    <w:p w:rsidR="00CF587F" w:rsidRPr="00A72A13" w:rsidRDefault="008E2FC2" w:rsidP="00A137D4">
      <w:pPr>
        <w:pStyle w:val="a4"/>
        <w:ind w:firstLine="720"/>
        <w:jc w:val="both"/>
        <w:rPr>
          <w:rFonts w:ascii="Times New Roman" w:hAnsi="Times New Roman" w:cs="Times New Roman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Rata deciziilor modificate/anulate pe cauzele penale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4,6%, cu 0,6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 mai puțin ca în aceeași perioadă a anului 2020</w:t>
      </w:r>
      <w:r w:rsidR="00A2400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</w:t>
      </w:r>
      <w:r w:rsidR="00A137D4" w:rsidRPr="00A72A13">
        <w:rPr>
          <w:rFonts w:ascii="Times New Roman" w:hAnsi="Times New Roman" w:cs="Times New Roman"/>
          <w:sz w:val="28"/>
          <w:szCs w:val="28"/>
          <w:lang w:val="ro-MD"/>
        </w:rPr>
        <w:t>05,%  mai puțin ca în 2021</w:t>
      </w:r>
      <w:r w:rsidR="00A137D4" w:rsidRPr="00A72A13">
        <w:rPr>
          <w:rFonts w:ascii="Times New Roman" w:hAnsi="Times New Roman" w:cs="Times New Roman"/>
          <w:lang w:val="ro-MD"/>
        </w:rPr>
        <w:t>.</w:t>
      </w:r>
    </w:p>
    <w:p w:rsidR="00CF587F" w:rsidRPr="00A72A13" w:rsidRDefault="00CF587F" w:rsidP="003626D7">
      <w:pPr>
        <w:pStyle w:val="a4"/>
        <w:ind w:firstLine="720"/>
        <w:jc w:val="center"/>
        <w:rPr>
          <w:rFonts w:ascii="Times New Roman" w:hAnsi="Times New Roman"/>
          <w:b/>
          <w:lang w:val="ro-MD" w:eastAsia="en-US"/>
        </w:rPr>
      </w:pPr>
    </w:p>
    <w:p w:rsidR="00CF587F" w:rsidRPr="00A72A13" w:rsidRDefault="00CF587F" w:rsidP="00A137D4">
      <w:pPr>
        <w:pStyle w:val="a4"/>
        <w:ind w:firstLine="720"/>
        <w:rPr>
          <w:rFonts w:ascii="Times New Roman" w:hAnsi="Times New Roman"/>
          <w:b/>
          <w:lang w:val="ro-MD" w:eastAsia="en-US"/>
        </w:rPr>
      </w:pPr>
    </w:p>
    <w:p w:rsidR="00FF488D" w:rsidRPr="00A72A13" w:rsidRDefault="007D34FF" w:rsidP="003626D7">
      <w:pPr>
        <w:pStyle w:val="a4"/>
        <w:ind w:firstLine="720"/>
        <w:jc w:val="center"/>
        <w:rPr>
          <w:rFonts w:ascii="Times New Roman" w:hAnsi="Times New Roman"/>
          <w:b/>
          <w:sz w:val="24"/>
          <w:szCs w:val="24"/>
          <w:lang w:val="ro-MD" w:eastAsia="en-US"/>
        </w:rPr>
      </w:pPr>
      <w:r w:rsidRPr="00A72A13">
        <w:rPr>
          <w:rFonts w:ascii="Times New Roman" w:hAnsi="Times New Roman"/>
          <w:b/>
          <w:sz w:val="24"/>
          <w:szCs w:val="24"/>
          <w:lang w:val="ro-MD" w:eastAsia="en-US"/>
        </w:rPr>
        <w:t xml:space="preserve">RATA DECIZIILOR </w:t>
      </w:r>
      <w:r w:rsidR="00103D89">
        <w:rPr>
          <w:rFonts w:ascii="Times New Roman" w:hAnsi="Times New Roman"/>
          <w:b/>
          <w:sz w:val="24"/>
          <w:szCs w:val="24"/>
          <w:lang w:val="ro-MD" w:eastAsia="en-US"/>
        </w:rPr>
        <w:t>CONTESTATE</w:t>
      </w:r>
      <w:r w:rsidRPr="00A72A13">
        <w:rPr>
          <w:rFonts w:ascii="Times New Roman" w:hAnsi="Times New Roman"/>
          <w:b/>
          <w:sz w:val="24"/>
          <w:szCs w:val="24"/>
          <w:lang w:val="ro-MD" w:eastAsia="en-US"/>
        </w:rPr>
        <w:t>, ANULATE/MODIFICATE P</w:t>
      </w:r>
      <w:r w:rsidR="003626D7" w:rsidRPr="00A72A13">
        <w:rPr>
          <w:rFonts w:ascii="Times New Roman" w:hAnsi="Times New Roman"/>
          <w:b/>
          <w:sz w:val="24"/>
          <w:szCs w:val="24"/>
          <w:lang w:val="ro-MD" w:eastAsia="en-US"/>
        </w:rPr>
        <w:t>ENTRU CATEGORIA DE CAUZE CIVILE</w:t>
      </w:r>
    </w:p>
    <w:p w:rsidR="00CF587F" w:rsidRPr="00A72A13" w:rsidRDefault="00CF587F" w:rsidP="00A137D4">
      <w:pPr>
        <w:pStyle w:val="a4"/>
        <w:rPr>
          <w:rFonts w:ascii="Times New Roman" w:hAnsi="Times New Roman"/>
          <w:b/>
          <w:lang w:val="ro-MD" w:eastAsia="en-US"/>
        </w:rPr>
      </w:pPr>
    </w:p>
    <w:p w:rsidR="0043118C" w:rsidRPr="00A72A13" w:rsidRDefault="00E96169" w:rsidP="007D34FF">
      <w:pPr>
        <w:pStyle w:val="a7"/>
        <w:spacing w:after="0"/>
        <w:rPr>
          <w:rFonts w:ascii="Times New Roman" w:hAnsi="Times New Roman"/>
          <w:i/>
          <w:lang w:val="ro-MD" w:eastAsia="en-US"/>
        </w:rPr>
      </w:pPr>
      <w:r w:rsidRPr="00A72A13">
        <w:rPr>
          <w:rFonts w:ascii="Times New Roman" w:hAnsi="Times New Roman"/>
          <w:i/>
          <w:lang w:val="ro-MD" w:eastAsia="en-US"/>
        </w:rPr>
        <w:t>Tabelul nr.</w:t>
      </w:r>
      <w:r w:rsidR="00946F08" w:rsidRPr="00A72A13">
        <w:rPr>
          <w:rFonts w:ascii="Times New Roman" w:hAnsi="Times New Roman"/>
          <w:i/>
          <w:lang w:val="ro-MD" w:eastAsia="en-US"/>
        </w:rPr>
        <w:t>32</w:t>
      </w:r>
      <w:r w:rsidRPr="00A72A13">
        <w:rPr>
          <w:rFonts w:ascii="Times New Roman" w:hAnsi="Times New Roman"/>
          <w:i/>
          <w:lang w:val="ro-MD" w:eastAsia="en-US"/>
        </w:rPr>
        <w:t xml:space="preserve">: </w:t>
      </w:r>
      <w:r w:rsidR="001E3B22" w:rsidRPr="00A72A13">
        <w:rPr>
          <w:rFonts w:ascii="Times New Roman" w:hAnsi="Times New Roman"/>
          <w:i/>
          <w:lang w:val="ro-MD" w:eastAsia="en-US"/>
        </w:rPr>
        <w:t xml:space="preserve"> Rata</w:t>
      </w:r>
      <w:r w:rsidR="00103D89">
        <w:rPr>
          <w:rFonts w:ascii="Times New Roman" w:hAnsi="Times New Roman"/>
          <w:i/>
          <w:lang w:val="ro-MD" w:eastAsia="en-US"/>
        </w:rPr>
        <w:t xml:space="preserve"> recursurilor </w:t>
      </w:r>
      <w:r w:rsidR="00103D89" w:rsidRPr="00A72A13">
        <w:rPr>
          <w:rFonts w:ascii="Times New Roman" w:hAnsi="Times New Roman"/>
          <w:i/>
          <w:lang w:val="ro-MD" w:eastAsia="en-US"/>
        </w:rPr>
        <w:t xml:space="preserve"> </w:t>
      </w:r>
      <w:r w:rsidR="00103D89">
        <w:rPr>
          <w:rFonts w:ascii="Times New Roman" w:hAnsi="Times New Roman"/>
          <w:i/>
          <w:lang w:val="ro-MD" w:eastAsia="en-US"/>
        </w:rPr>
        <w:t xml:space="preserve">contestate </w:t>
      </w:r>
      <w:r w:rsidR="00103D89" w:rsidRPr="00A72A13">
        <w:rPr>
          <w:rFonts w:ascii="Times New Roman" w:hAnsi="Times New Roman"/>
          <w:i/>
          <w:lang w:val="ro-MD" w:eastAsia="en-US"/>
        </w:rPr>
        <w:t xml:space="preserve"> </w:t>
      </w:r>
      <w:r w:rsidR="001E3B22" w:rsidRPr="00A72A13">
        <w:rPr>
          <w:rFonts w:ascii="Times New Roman" w:hAnsi="Times New Roman"/>
          <w:i/>
          <w:lang w:val="ro-MD" w:eastAsia="en-US"/>
        </w:rPr>
        <w:t>și celor anulate</w:t>
      </w:r>
      <w:r w:rsidR="007D34FF" w:rsidRPr="00A72A13">
        <w:rPr>
          <w:rFonts w:ascii="Times New Roman" w:hAnsi="Times New Roman"/>
          <w:i/>
          <w:lang w:val="ro-MD" w:eastAsia="en-US"/>
        </w:rPr>
        <w:t>/modificate pentru cauze civile</w:t>
      </w:r>
    </w:p>
    <w:p w:rsidR="00A137D4" w:rsidRPr="00A72A13" w:rsidRDefault="00646B66" w:rsidP="00A137D4">
      <w:pPr>
        <w:pStyle w:val="a4"/>
        <w:tabs>
          <w:tab w:val="left" w:pos="9781"/>
        </w:tabs>
        <w:ind w:firstLine="720"/>
        <w:rPr>
          <w:rFonts w:ascii="Times New Roman" w:hAnsi="Times New Roman" w:cs="Times New Roman"/>
          <w:b/>
          <w:lang w:val="ro-MD"/>
        </w:rPr>
      </w:pPr>
      <w:r w:rsidRPr="00A72A13">
        <w:rPr>
          <w:noProof/>
        </w:rPr>
        <w:drawing>
          <wp:inline distT="0" distB="0" distL="0" distR="0" wp14:anchorId="17683786" wp14:editId="325B1631">
            <wp:extent cx="6186115" cy="2409245"/>
            <wp:effectExtent l="0" t="0" r="5715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7B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A137D4" w:rsidRPr="00A72A13">
        <w:rPr>
          <w:rFonts w:ascii="Times New Roman" w:hAnsi="Times New Roman" w:cs="Times New Roman"/>
          <w:b/>
          <w:lang w:val="ro-MD"/>
        </w:rPr>
        <w:t xml:space="preserve">   </w:t>
      </w:r>
    </w:p>
    <w:p w:rsidR="007D34FF" w:rsidRPr="00A72A13" w:rsidRDefault="001E3B22" w:rsidP="00A137D4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Rata </w:t>
      </w:r>
      <w:r w:rsidR="00F85317">
        <w:rPr>
          <w:rFonts w:ascii="Times New Roman" w:hAnsi="Times New Roman" w:cs="Times New Roman"/>
          <w:b/>
          <w:sz w:val="28"/>
          <w:szCs w:val="28"/>
          <w:lang w:val="ro-MD"/>
        </w:rPr>
        <w:t>recursurilor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 cauzele civile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ale Curții de Apel Cahul depuse la Curtea Supremă de Justiție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22,4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din numărul  deciziilor instanței. Comparativ cu anul 2020 rata </w:t>
      </w:r>
      <w:r w:rsidR="00F85317">
        <w:rPr>
          <w:rFonts w:ascii="Times New Roman" w:hAnsi="Times New Roman" w:cs="Times New Roman"/>
          <w:sz w:val="28"/>
          <w:szCs w:val="28"/>
          <w:lang w:val="ro-MD"/>
        </w:rPr>
        <w:t xml:space="preserve">recursurilor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depuse pe cauzele civile este în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creștere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7,4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%</w:t>
      </w:r>
      <w:r w:rsidR="0011673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anul 2021 în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creștere</w:t>
      </w:r>
      <w:r w:rsidR="0011673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cu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0,5</w:t>
      </w:r>
      <w:r w:rsidR="00116739" w:rsidRPr="00A72A13">
        <w:rPr>
          <w:rFonts w:ascii="Times New Roman" w:hAnsi="Times New Roman" w:cs="Times New Roman"/>
          <w:sz w:val="28"/>
          <w:szCs w:val="28"/>
          <w:lang w:val="ro-MD"/>
        </w:rPr>
        <w:t>%.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CF587F" w:rsidRPr="00A72A13" w:rsidRDefault="001E3B22" w:rsidP="00116739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Rata deciziilor modificate/anulate pe cauzele civile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constituie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2,2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%, cu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1,1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mai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 în </w:t>
      </w:r>
      <w:r w:rsidR="006D5D31" w:rsidRPr="00A72A13">
        <w:rPr>
          <w:rFonts w:ascii="Times New Roman" w:hAnsi="Times New Roman" w:cs="Times New Roman"/>
          <w:sz w:val="28"/>
          <w:szCs w:val="28"/>
          <w:lang w:val="ro-MD"/>
        </w:rPr>
        <w:t>aceeași perioadă a anului 2020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0,9</w:t>
      </w:r>
      <w:r w:rsidR="0011673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% mai </w:t>
      </w:r>
      <w:r w:rsidR="00646B66" w:rsidRPr="00A72A13">
        <w:rPr>
          <w:rFonts w:ascii="Times New Roman" w:hAnsi="Times New Roman" w:cs="Times New Roman"/>
          <w:sz w:val="28"/>
          <w:szCs w:val="28"/>
          <w:lang w:val="ro-MD"/>
        </w:rPr>
        <w:t>mare</w:t>
      </w:r>
      <w:r w:rsidR="00116739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 în anul 2021</w:t>
      </w:r>
      <w:r w:rsidR="006D5D31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646B66" w:rsidRPr="00A72A13" w:rsidRDefault="00646B66" w:rsidP="00116739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610E4B" w:rsidRPr="00A72A13" w:rsidRDefault="007D34FF" w:rsidP="007D34FF">
      <w:pPr>
        <w:tabs>
          <w:tab w:val="left" w:pos="1995"/>
        </w:tabs>
        <w:ind w:right="819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72A13">
        <w:rPr>
          <w:rFonts w:ascii="Times New Roman" w:hAnsi="Times New Roman" w:cs="Times New Roman"/>
          <w:b/>
          <w:sz w:val="24"/>
          <w:szCs w:val="24"/>
          <w:lang w:val="ro-MD"/>
        </w:rPr>
        <w:t>SARCINA PER JUDECĂTOR</w:t>
      </w:r>
    </w:p>
    <w:p w:rsidR="00FF488D" w:rsidRPr="00A72A13" w:rsidRDefault="00FF488D" w:rsidP="00FF488D">
      <w:pPr>
        <w:ind w:right="-1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Cauze per judecător (indicatorul CPJ):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Numărul mediu de cauze examinate de fiecare judecător al instanței în decursul unei perioade de referință. În raport acest indicator a fost calculat reieșind din numărul total de cauze examinate în Curtea de Apel Cahul raportat la numărul total de judecători care au activat pe parcursul anului respectiv.</w:t>
      </w:r>
    </w:p>
    <w:p w:rsidR="00FF488D" w:rsidRPr="00A72A13" w:rsidRDefault="00FF488D" w:rsidP="0042100F">
      <w:pPr>
        <w:ind w:right="-1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Cauze per personal (CPS):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Raportul dintre numărul de angajați al instanței în cursul unui an și cauzele soluționate de către aceeași</w:t>
      </w:r>
      <w:r w:rsidR="0042100F" w:rsidRPr="00A72A13">
        <w:rPr>
          <w:rFonts w:ascii="Times New Roman" w:hAnsi="Times New Roman"/>
          <w:sz w:val="28"/>
          <w:szCs w:val="28"/>
          <w:lang w:val="ro-MD"/>
        </w:rPr>
        <w:t xml:space="preserve"> instanță la sfârșitul anului.</w:t>
      </w:r>
    </w:p>
    <w:p w:rsidR="0042100F" w:rsidRPr="00A72A13" w:rsidRDefault="0042100F" w:rsidP="00032A6C">
      <w:pPr>
        <w:ind w:right="-1"/>
        <w:jc w:val="both"/>
        <w:rPr>
          <w:rFonts w:ascii="Times New Roman" w:hAnsi="Times New Roman"/>
          <w:lang w:val="ro-MD"/>
        </w:rPr>
      </w:pPr>
    </w:p>
    <w:p w:rsidR="00DA68C5" w:rsidRPr="00A72A13" w:rsidRDefault="00610E4B" w:rsidP="00610E4B">
      <w:pPr>
        <w:pStyle w:val="a7"/>
        <w:spacing w:after="0"/>
        <w:jc w:val="both"/>
        <w:rPr>
          <w:rFonts w:ascii="Times New Roman" w:hAnsi="Times New Roman"/>
          <w:i/>
          <w:lang w:val="ro-MD"/>
        </w:rPr>
      </w:pPr>
      <w:r w:rsidRPr="00A72A13">
        <w:rPr>
          <w:rFonts w:ascii="Times New Roman" w:hAnsi="Times New Roman"/>
          <w:i/>
          <w:lang w:val="ro-MD"/>
        </w:rPr>
        <w:t xml:space="preserve">Tabelul nr. </w:t>
      </w:r>
      <w:r w:rsidR="00946F08" w:rsidRPr="00A72A13">
        <w:rPr>
          <w:rFonts w:ascii="Times New Roman" w:hAnsi="Times New Roman"/>
          <w:i/>
          <w:lang w:val="ro-MD"/>
        </w:rPr>
        <w:t>33</w:t>
      </w:r>
      <w:r w:rsidRPr="00A72A13">
        <w:rPr>
          <w:rFonts w:ascii="Times New Roman" w:hAnsi="Times New Roman"/>
          <w:i/>
          <w:lang w:val="ro-MD"/>
        </w:rPr>
        <w:t>: Volumul cauzelor aflate  în procedură per judecător și soluționate per judecător</w:t>
      </w:r>
    </w:p>
    <w:p w:rsidR="00DA68C5" w:rsidRPr="00A72A13" w:rsidRDefault="00032A6C" w:rsidP="00657BC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72A13">
        <w:rPr>
          <w:noProof/>
        </w:rPr>
        <w:drawing>
          <wp:inline distT="0" distB="0" distL="0" distR="0" wp14:anchorId="6BFFC124" wp14:editId="439D891E">
            <wp:extent cx="6718300" cy="3514477"/>
            <wp:effectExtent l="0" t="0" r="635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3D08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D5D31" w:rsidRPr="00A72A13" w:rsidRDefault="006D5D31" w:rsidP="006D5D31">
      <w:pPr>
        <w:pStyle w:val="a4"/>
        <w:spacing w:line="276" w:lineRule="auto"/>
        <w:jc w:val="both"/>
        <w:rPr>
          <w:rFonts w:ascii="Times New Roman" w:hAnsi="Times New Roman" w:cs="Times New Roman"/>
          <w:lang w:val="ro-MD"/>
        </w:rPr>
      </w:pPr>
    </w:p>
    <w:p w:rsidR="00DA68C5" w:rsidRPr="00A72A13" w:rsidRDefault="00DA68C5" w:rsidP="006D5D3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>Numărul de cauze</w:t>
      </w:r>
      <w:r w:rsidR="00204B96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noi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aflate în procedur</w:t>
      </w:r>
      <w:r w:rsidR="00C97018"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a unui 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>judecător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>î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este de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329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cauze. Comparativ 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>în creștere cu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121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cauze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față de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anul 20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>20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și cu 68 cauze în anul 2021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DA68C5" w:rsidRPr="00A72A13" w:rsidRDefault="00DA68C5" w:rsidP="006D5D31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Numărul de cauze </w:t>
      </w:r>
      <w:r w:rsidR="002A5FA7" w:rsidRPr="00A72A13">
        <w:rPr>
          <w:rFonts w:ascii="Times New Roman" w:hAnsi="Times New Roman" w:cs="Times New Roman"/>
          <w:b/>
          <w:sz w:val="28"/>
          <w:szCs w:val="28"/>
          <w:lang w:val="ro-MD"/>
        </w:rPr>
        <w:t>soluționate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0B408E" w:rsidRPr="00A72A13">
        <w:rPr>
          <w:rFonts w:ascii="Times New Roman" w:hAnsi="Times New Roman" w:cs="Times New Roman"/>
          <w:b/>
          <w:sz w:val="28"/>
          <w:szCs w:val="28"/>
          <w:lang w:val="ro-MD"/>
        </w:rPr>
        <w:t>per</w:t>
      </w:r>
      <w:r w:rsidRPr="00A72A1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judecător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este de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295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cauze</w:t>
      </w:r>
      <w:r w:rsidR="00F57C59" w:rsidRPr="00A72A1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în creștere 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93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cauze faț</w:t>
      </w:r>
      <w:r w:rsidR="002A5FA7" w:rsidRPr="00A72A1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>anul 20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>20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și cu 43 cauze în anul 2021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42100F" w:rsidRPr="00A72A13" w:rsidRDefault="006D5D31" w:rsidP="00032A6C">
      <w:pPr>
        <w:tabs>
          <w:tab w:val="left" w:pos="1995"/>
        </w:tabs>
        <w:ind w:right="49"/>
        <w:rPr>
          <w:rFonts w:ascii="Times New Roman" w:hAnsi="Times New Roman" w:cs="Times New Roman"/>
          <w:sz w:val="28"/>
          <w:szCs w:val="28"/>
          <w:lang w:val="ro-MD"/>
        </w:rPr>
      </w:pPr>
      <w:r w:rsidRPr="00B64813">
        <w:rPr>
          <w:rFonts w:ascii="Times New Roman" w:hAnsi="Times New Roman" w:cs="Times New Roman"/>
          <w:sz w:val="28"/>
          <w:szCs w:val="28"/>
          <w:lang w:val="ro-MD"/>
        </w:rPr>
        <w:t xml:space="preserve">             </w:t>
      </w:r>
      <w:r w:rsidR="00C97018" w:rsidRPr="00B64813">
        <w:rPr>
          <w:rFonts w:ascii="Times New Roman" w:hAnsi="Times New Roman" w:cs="Times New Roman"/>
          <w:sz w:val="28"/>
          <w:szCs w:val="28"/>
          <w:lang w:val="ro-MD"/>
        </w:rPr>
        <w:t>U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nui angajat îi revine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>66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cauze </w:t>
      </w:r>
      <w:r w:rsidR="002A5FA7" w:rsidRPr="00A72A13">
        <w:rPr>
          <w:rFonts w:ascii="Times New Roman" w:hAnsi="Times New Roman" w:cs="Times New Roman"/>
          <w:sz w:val="28"/>
          <w:szCs w:val="28"/>
          <w:lang w:val="ro-MD"/>
        </w:rPr>
        <w:t>soluționate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în anul </w:t>
      </w:r>
      <w:r w:rsidR="00904333" w:rsidRPr="00A72A13">
        <w:rPr>
          <w:rFonts w:ascii="Times New Roman" w:hAnsi="Times New Roman" w:cs="Times New Roman"/>
          <w:sz w:val="28"/>
          <w:szCs w:val="28"/>
          <w:lang w:val="ro-MD"/>
        </w:rPr>
        <w:t>2022</w:t>
      </w:r>
      <w:r w:rsidR="006516ED" w:rsidRPr="00A72A13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97018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C6A03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comparativ cu </w:t>
      </w:r>
      <w:r w:rsidR="00F57C59" w:rsidRPr="00A72A13">
        <w:rPr>
          <w:rFonts w:ascii="Times New Roman" w:hAnsi="Times New Roman" w:cs="Times New Roman"/>
          <w:sz w:val="28"/>
          <w:szCs w:val="28"/>
          <w:lang w:val="ro-MD"/>
        </w:rPr>
        <w:t>anul 20</w:t>
      </w:r>
      <w:r w:rsidR="000B408E" w:rsidRPr="00A72A13">
        <w:rPr>
          <w:rFonts w:ascii="Times New Roman" w:hAnsi="Times New Roman" w:cs="Times New Roman"/>
          <w:sz w:val="28"/>
          <w:szCs w:val="28"/>
          <w:lang w:val="ro-MD"/>
        </w:rPr>
        <w:t>20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C6A03" w:rsidRPr="00A72A13">
        <w:rPr>
          <w:rFonts w:ascii="Times New Roman" w:hAnsi="Times New Roman" w:cs="Times New Roman"/>
          <w:sz w:val="28"/>
          <w:szCs w:val="28"/>
          <w:lang w:val="ro-MD"/>
        </w:rPr>
        <w:t>este în creștere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cu 1 cauză și cu 6 cauze </w:t>
      </w:r>
      <w:r w:rsidR="00EC6A03" w:rsidRPr="00A72A13">
        <w:rPr>
          <w:rFonts w:ascii="Times New Roman" w:hAnsi="Times New Roman" w:cs="Times New Roman"/>
          <w:sz w:val="28"/>
          <w:szCs w:val="28"/>
          <w:lang w:val="ro-MD"/>
        </w:rPr>
        <w:t>în descreștere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C6A03" w:rsidRPr="00A72A13">
        <w:rPr>
          <w:rFonts w:ascii="Times New Roman" w:hAnsi="Times New Roman" w:cs="Times New Roman"/>
          <w:sz w:val="28"/>
          <w:szCs w:val="28"/>
          <w:lang w:val="ro-MD"/>
        </w:rPr>
        <w:t>în</w:t>
      </w:r>
      <w:r w:rsidR="00032A6C" w:rsidRPr="00A72A13">
        <w:rPr>
          <w:rFonts w:ascii="Times New Roman" w:hAnsi="Times New Roman" w:cs="Times New Roman"/>
          <w:sz w:val="28"/>
          <w:szCs w:val="28"/>
          <w:lang w:val="ro-MD"/>
        </w:rPr>
        <w:t xml:space="preserve"> anul 2021</w:t>
      </w:r>
      <w:r w:rsidR="007F6187" w:rsidRPr="00A72A1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42100F" w:rsidRPr="00A72A13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Pr="00A72A13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Pr="00A72A13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42100F" w:rsidRPr="00A72A13" w:rsidRDefault="0042100F" w:rsidP="003626D7">
      <w:pPr>
        <w:ind w:right="-1" w:firstLine="567"/>
        <w:jc w:val="both"/>
        <w:rPr>
          <w:rFonts w:ascii="Times New Roman" w:hAnsi="Times New Roman"/>
          <w:b/>
          <w:lang w:val="ro-MD"/>
        </w:rPr>
      </w:pPr>
    </w:p>
    <w:p w:rsidR="003626D7" w:rsidRPr="00A72A13" w:rsidRDefault="00FF488D" w:rsidP="00946F08">
      <w:pPr>
        <w:ind w:right="-1"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A72A13">
        <w:rPr>
          <w:rFonts w:ascii="Times New Roman" w:hAnsi="Times New Roman"/>
          <w:b/>
          <w:sz w:val="28"/>
          <w:szCs w:val="28"/>
          <w:lang w:val="ro-MD"/>
        </w:rPr>
        <w:t>Personal per judecător (SPJ):</w:t>
      </w:r>
      <w:r w:rsidRPr="00A72A13">
        <w:rPr>
          <w:rFonts w:ascii="Times New Roman" w:hAnsi="Times New Roman"/>
          <w:sz w:val="28"/>
          <w:szCs w:val="28"/>
          <w:lang w:val="ro-MD"/>
        </w:rPr>
        <w:t xml:space="preserve"> Raportul dintre numărul de angajați din instanță și numărul de judecători din cadrul instanței într-o anumită perioadă de timp. Este evident faptul că eficiența instanței depinde de cantitatea și calitatea resurselor umane. O repartizare corespunzătoare a personalului auxiliar judiciar și administrativ va determina creșterea eficienței și a calității serviciilor judiciare.</w:t>
      </w:r>
    </w:p>
    <w:p w:rsidR="00227D10" w:rsidRPr="00A72A13" w:rsidRDefault="00C547EC" w:rsidP="007D34FF">
      <w:pPr>
        <w:pStyle w:val="a7"/>
        <w:rPr>
          <w:i/>
          <w:lang w:val="ro-MD" w:eastAsia="en-US"/>
        </w:rPr>
      </w:pPr>
      <w:r w:rsidRPr="00A72A13">
        <w:rPr>
          <w:rFonts w:ascii="Times New Roman" w:hAnsi="Times New Roman"/>
          <w:i/>
          <w:lang w:val="ro-MD" w:eastAsia="en-US"/>
        </w:rPr>
        <w:t>Tabelul nr.</w:t>
      </w:r>
      <w:r w:rsidR="00946F08" w:rsidRPr="00A72A13">
        <w:rPr>
          <w:rFonts w:ascii="Times New Roman" w:hAnsi="Times New Roman"/>
          <w:i/>
          <w:lang w:val="ro-MD" w:eastAsia="en-US"/>
        </w:rPr>
        <w:t>34</w:t>
      </w:r>
      <w:r w:rsidRPr="00A72A13">
        <w:rPr>
          <w:rFonts w:ascii="Times New Roman" w:hAnsi="Times New Roman"/>
          <w:i/>
          <w:lang w:val="ro-MD" w:eastAsia="en-US"/>
        </w:rPr>
        <w:t>: Indicatorii de productivitate medie și distribuire a resurselor umane</w:t>
      </w:r>
      <w:r w:rsidR="009C7B81" w:rsidRPr="00A72A13">
        <w:rPr>
          <w:rFonts w:ascii="Tahoma" w:eastAsia="Tahoma" w:hAnsi="Tahoma" w:cs="Tahoma"/>
          <w:b/>
          <w:bCs/>
          <w:color w:val="000000"/>
          <w:kern w:val="24"/>
          <w:lang w:val="ro-MD" w:eastAsia="ru-RU"/>
        </w:rPr>
        <w:t xml:space="preserve"> </w:t>
      </w:r>
      <w:r w:rsidR="009C7B81" w:rsidRPr="00A72A13">
        <w:rPr>
          <w:rFonts w:ascii="Times New Roman" w:hAnsi="Times New Roman"/>
          <w:bCs/>
          <w:i/>
          <w:lang w:val="ro-MD" w:eastAsia="en-US"/>
        </w:rPr>
        <w:t>Numărul de judecători, angajați și ratele Judecător/angajați</w:t>
      </w:r>
    </w:p>
    <w:p w:rsidR="00C547EC" w:rsidRPr="00A72A13" w:rsidRDefault="00EC6A03" w:rsidP="00190B3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A72A13">
        <w:rPr>
          <w:noProof/>
          <w:lang w:eastAsia="ru-RU"/>
        </w:rPr>
        <w:drawing>
          <wp:inline distT="0" distB="0" distL="0" distR="0" wp14:anchorId="20C78905" wp14:editId="32F8FA1E">
            <wp:extent cx="6663193" cy="3625215"/>
            <wp:effectExtent l="0" t="0" r="4445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3F08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436AB" w:rsidRPr="00A72A13" w:rsidRDefault="008436AB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sz w:val="28"/>
          <w:szCs w:val="28"/>
          <w:lang w:val="ro-MD"/>
        </w:rPr>
      </w:pPr>
    </w:p>
    <w:p w:rsidR="00330203" w:rsidRPr="00A72A13" w:rsidRDefault="00330203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color w:val="FF0000"/>
          <w:sz w:val="28"/>
          <w:szCs w:val="28"/>
          <w:lang w:val="ro-MD"/>
        </w:rPr>
      </w:pPr>
    </w:p>
    <w:p w:rsidR="00330203" w:rsidRPr="00A72A13" w:rsidRDefault="00330203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color w:val="FF0000"/>
          <w:sz w:val="28"/>
          <w:szCs w:val="28"/>
          <w:lang w:val="ro-MD"/>
        </w:rPr>
      </w:pPr>
    </w:p>
    <w:p w:rsidR="00330203" w:rsidRPr="00A72A13" w:rsidRDefault="00330203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color w:val="FF0000"/>
          <w:sz w:val="28"/>
          <w:szCs w:val="28"/>
          <w:lang w:val="ro-MD"/>
        </w:rPr>
      </w:pPr>
    </w:p>
    <w:p w:rsidR="00330203" w:rsidRPr="00A72A13" w:rsidRDefault="00330203" w:rsidP="00F33CB8">
      <w:pPr>
        <w:pStyle w:val="a9"/>
        <w:tabs>
          <w:tab w:val="left" w:pos="1995"/>
        </w:tabs>
        <w:ind w:left="1134" w:right="567"/>
        <w:jc w:val="center"/>
        <w:rPr>
          <w:rFonts w:ascii="Times New Roman"/>
          <w:b/>
          <w:color w:val="FF0000"/>
          <w:sz w:val="28"/>
          <w:szCs w:val="28"/>
          <w:lang w:val="ro-MD"/>
        </w:rPr>
      </w:pPr>
    </w:p>
    <w:p w:rsidR="0042100F" w:rsidRPr="00A72A13" w:rsidRDefault="0042100F">
      <w:pPr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42100F" w:rsidRPr="00A72A13" w:rsidRDefault="0042100F">
      <w:pPr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8D0373" w:rsidRPr="00A72A13" w:rsidRDefault="008D0373">
      <w:pPr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Președintele interimar al </w:t>
      </w:r>
    </w:p>
    <w:p w:rsidR="008D0373" w:rsidRPr="00A72A13" w:rsidRDefault="008D0373">
      <w:pPr>
        <w:rPr>
          <w:sz w:val="28"/>
          <w:szCs w:val="28"/>
          <w:lang w:val="ro-MD"/>
        </w:rPr>
      </w:pPr>
      <w:r w:rsidRPr="00A72A13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Curții de Apel Cahul                                                                                     VAVRIN Galina</w:t>
      </w:r>
    </w:p>
    <w:sectPr w:rsidR="008D0373" w:rsidRPr="00A72A13" w:rsidSect="007977ED">
      <w:footerReference w:type="default" r:id="rId41"/>
      <w:pgSz w:w="12240" w:h="15840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6B" w:rsidRDefault="00147A6B" w:rsidP="00D5186E">
      <w:pPr>
        <w:spacing w:after="0" w:line="240" w:lineRule="auto"/>
      </w:pPr>
      <w:r>
        <w:separator/>
      </w:r>
    </w:p>
  </w:endnote>
  <w:endnote w:type="continuationSeparator" w:id="0">
    <w:p w:rsidR="00147A6B" w:rsidRDefault="00147A6B" w:rsidP="00D5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379993"/>
      <w:docPartObj>
        <w:docPartGallery w:val="Page Numbers (Bottom of Page)"/>
        <w:docPartUnique/>
      </w:docPartObj>
    </w:sdtPr>
    <w:sdtEndPr/>
    <w:sdtContent>
      <w:p w:rsidR="00147A6B" w:rsidRDefault="00147A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2EC" w:rsidRPr="003862EC">
          <w:rPr>
            <w:noProof/>
            <w:lang w:val="ro-RO"/>
          </w:rPr>
          <w:t>21</w:t>
        </w:r>
        <w:r>
          <w:fldChar w:fldCharType="end"/>
        </w:r>
      </w:p>
    </w:sdtContent>
  </w:sdt>
  <w:p w:rsidR="00147A6B" w:rsidRDefault="00147A6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6B" w:rsidRDefault="00147A6B" w:rsidP="00D5186E">
      <w:pPr>
        <w:spacing w:after="0" w:line="240" w:lineRule="auto"/>
      </w:pPr>
      <w:r>
        <w:separator/>
      </w:r>
    </w:p>
  </w:footnote>
  <w:footnote w:type="continuationSeparator" w:id="0">
    <w:p w:rsidR="00147A6B" w:rsidRDefault="00147A6B" w:rsidP="00D5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6216"/>
    <w:multiLevelType w:val="hybridMultilevel"/>
    <w:tmpl w:val="0C7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9E0"/>
    <w:multiLevelType w:val="hybridMultilevel"/>
    <w:tmpl w:val="5C9052D0"/>
    <w:lvl w:ilvl="0" w:tplc="CADE26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5E61CC"/>
    <w:multiLevelType w:val="hybridMultilevel"/>
    <w:tmpl w:val="A45AA13A"/>
    <w:lvl w:ilvl="0" w:tplc="BBB46128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2214F19"/>
    <w:multiLevelType w:val="hybridMultilevel"/>
    <w:tmpl w:val="CE645F2C"/>
    <w:lvl w:ilvl="0" w:tplc="2B8E42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77BC3551"/>
    <w:multiLevelType w:val="hybridMultilevel"/>
    <w:tmpl w:val="3290466E"/>
    <w:lvl w:ilvl="0" w:tplc="D19245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6E"/>
    <w:rsid w:val="00006F28"/>
    <w:rsid w:val="00007CF9"/>
    <w:rsid w:val="00013699"/>
    <w:rsid w:val="0002099A"/>
    <w:rsid w:val="00024B3F"/>
    <w:rsid w:val="00024F91"/>
    <w:rsid w:val="00025F28"/>
    <w:rsid w:val="000264CE"/>
    <w:rsid w:val="00032A6C"/>
    <w:rsid w:val="000431E8"/>
    <w:rsid w:val="00051BC5"/>
    <w:rsid w:val="000537BE"/>
    <w:rsid w:val="000542B7"/>
    <w:rsid w:val="00054BDA"/>
    <w:rsid w:val="00056660"/>
    <w:rsid w:val="000647D9"/>
    <w:rsid w:val="00065B11"/>
    <w:rsid w:val="00072C0A"/>
    <w:rsid w:val="000736D7"/>
    <w:rsid w:val="00077209"/>
    <w:rsid w:val="00096095"/>
    <w:rsid w:val="000B302C"/>
    <w:rsid w:val="000B408E"/>
    <w:rsid w:val="000C04F3"/>
    <w:rsid w:val="000D0383"/>
    <w:rsid w:val="000D47D4"/>
    <w:rsid w:val="000D626F"/>
    <w:rsid w:val="000D7B79"/>
    <w:rsid w:val="000E0399"/>
    <w:rsid w:val="000E5952"/>
    <w:rsid w:val="000E62AD"/>
    <w:rsid w:val="000F24AC"/>
    <w:rsid w:val="000F3B35"/>
    <w:rsid w:val="000F3CAB"/>
    <w:rsid w:val="000F591A"/>
    <w:rsid w:val="00103D89"/>
    <w:rsid w:val="00110BE4"/>
    <w:rsid w:val="00113BF6"/>
    <w:rsid w:val="00116739"/>
    <w:rsid w:val="0011677F"/>
    <w:rsid w:val="00124452"/>
    <w:rsid w:val="00125441"/>
    <w:rsid w:val="001353E0"/>
    <w:rsid w:val="00136FB6"/>
    <w:rsid w:val="00141EAD"/>
    <w:rsid w:val="00142548"/>
    <w:rsid w:val="00144410"/>
    <w:rsid w:val="0014580C"/>
    <w:rsid w:val="00146723"/>
    <w:rsid w:val="00147A6B"/>
    <w:rsid w:val="00154123"/>
    <w:rsid w:val="00161097"/>
    <w:rsid w:val="00163A3B"/>
    <w:rsid w:val="001672C5"/>
    <w:rsid w:val="00170729"/>
    <w:rsid w:val="00172FE9"/>
    <w:rsid w:val="00173C2D"/>
    <w:rsid w:val="00175664"/>
    <w:rsid w:val="00176C46"/>
    <w:rsid w:val="00180FD0"/>
    <w:rsid w:val="00181DBD"/>
    <w:rsid w:val="001867FA"/>
    <w:rsid w:val="00190B35"/>
    <w:rsid w:val="00192705"/>
    <w:rsid w:val="001A5DC4"/>
    <w:rsid w:val="001B0357"/>
    <w:rsid w:val="001B0387"/>
    <w:rsid w:val="001B73D7"/>
    <w:rsid w:val="001C0042"/>
    <w:rsid w:val="001D44C6"/>
    <w:rsid w:val="001D6FCA"/>
    <w:rsid w:val="001D76C2"/>
    <w:rsid w:val="001E2CB2"/>
    <w:rsid w:val="001E3B22"/>
    <w:rsid w:val="001E4366"/>
    <w:rsid w:val="001E7B7F"/>
    <w:rsid w:val="001F0A5E"/>
    <w:rsid w:val="001F5D2E"/>
    <w:rsid w:val="001F62E3"/>
    <w:rsid w:val="002013BF"/>
    <w:rsid w:val="0020481A"/>
    <w:rsid w:val="00204B96"/>
    <w:rsid w:val="00215E5D"/>
    <w:rsid w:val="0022409C"/>
    <w:rsid w:val="00226833"/>
    <w:rsid w:val="00227D10"/>
    <w:rsid w:val="002315D3"/>
    <w:rsid w:val="002366FA"/>
    <w:rsid w:val="002411C8"/>
    <w:rsid w:val="0024438F"/>
    <w:rsid w:val="002462FA"/>
    <w:rsid w:val="002466F1"/>
    <w:rsid w:val="00250737"/>
    <w:rsid w:val="00252417"/>
    <w:rsid w:val="00256155"/>
    <w:rsid w:val="002577F0"/>
    <w:rsid w:val="00261E50"/>
    <w:rsid w:val="0026568B"/>
    <w:rsid w:val="002717DD"/>
    <w:rsid w:val="00273980"/>
    <w:rsid w:val="00283F8A"/>
    <w:rsid w:val="00284247"/>
    <w:rsid w:val="00286DEE"/>
    <w:rsid w:val="00287126"/>
    <w:rsid w:val="0028783B"/>
    <w:rsid w:val="002A5FA7"/>
    <w:rsid w:val="002A7DAD"/>
    <w:rsid w:val="002B6A44"/>
    <w:rsid w:val="002C13C0"/>
    <w:rsid w:val="002C165A"/>
    <w:rsid w:val="002D64C3"/>
    <w:rsid w:val="002E0FCB"/>
    <w:rsid w:val="002E28D0"/>
    <w:rsid w:val="002E2E69"/>
    <w:rsid w:val="002F1318"/>
    <w:rsid w:val="00300222"/>
    <w:rsid w:val="003003FB"/>
    <w:rsid w:val="00305A1E"/>
    <w:rsid w:val="00307ACF"/>
    <w:rsid w:val="00313445"/>
    <w:rsid w:val="0031601C"/>
    <w:rsid w:val="0031614B"/>
    <w:rsid w:val="0032570C"/>
    <w:rsid w:val="00330203"/>
    <w:rsid w:val="00336DBD"/>
    <w:rsid w:val="00343035"/>
    <w:rsid w:val="00343B7D"/>
    <w:rsid w:val="00353C86"/>
    <w:rsid w:val="00361EFD"/>
    <w:rsid w:val="003626D7"/>
    <w:rsid w:val="00365950"/>
    <w:rsid w:val="00367F0A"/>
    <w:rsid w:val="00375123"/>
    <w:rsid w:val="00376478"/>
    <w:rsid w:val="003808E0"/>
    <w:rsid w:val="00381B2A"/>
    <w:rsid w:val="00383AD1"/>
    <w:rsid w:val="0038578D"/>
    <w:rsid w:val="003862EC"/>
    <w:rsid w:val="00390F2E"/>
    <w:rsid w:val="003A33E0"/>
    <w:rsid w:val="003B104F"/>
    <w:rsid w:val="003B3CAA"/>
    <w:rsid w:val="003B7E59"/>
    <w:rsid w:val="003C6DFD"/>
    <w:rsid w:val="003C7798"/>
    <w:rsid w:val="003D2C53"/>
    <w:rsid w:val="003D3087"/>
    <w:rsid w:val="003D497C"/>
    <w:rsid w:val="003D610F"/>
    <w:rsid w:val="003E0668"/>
    <w:rsid w:val="003E48FD"/>
    <w:rsid w:val="003F362D"/>
    <w:rsid w:val="003F4FBC"/>
    <w:rsid w:val="003F6D3C"/>
    <w:rsid w:val="004022C8"/>
    <w:rsid w:val="00406894"/>
    <w:rsid w:val="00414CEA"/>
    <w:rsid w:val="00415989"/>
    <w:rsid w:val="00420C2C"/>
    <w:rsid w:val="0042100F"/>
    <w:rsid w:val="00421795"/>
    <w:rsid w:val="0042370A"/>
    <w:rsid w:val="0043118C"/>
    <w:rsid w:val="00432A29"/>
    <w:rsid w:val="00442523"/>
    <w:rsid w:val="00443950"/>
    <w:rsid w:val="0044563E"/>
    <w:rsid w:val="00450BA1"/>
    <w:rsid w:val="00455227"/>
    <w:rsid w:val="00455C05"/>
    <w:rsid w:val="00455ED5"/>
    <w:rsid w:val="00462B44"/>
    <w:rsid w:val="0046447F"/>
    <w:rsid w:val="00467034"/>
    <w:rsid w:val="00480242"/>
    <w:rsid w:val="00480405"/>
    <w:rsid w:val="00485572"/>
    <w:rsid w:val="004862D3"/>
    <w:rsid w:val="00486D54"/>
    <w:rsid w:val="00487EA5"/>
    <w:rsid w:val="004A09F4"/>
    <w:rsid w:val="004B61DA"/>
    <w:rsid w:val="004B6595"/>
    <w:rsid w:val="004B7B4D"/>
    <w:rsid w:val="004C145D"/>
    <w:rsid w:val="004D1D1A"/>
    <w:rsid w:val="004D241D"/>
    <w:rsid w:val="004F2DA4"/>
    <w:rsid w:val="004F38BE"/>
    <w:rsid w:val="004F4E51"/>
    <w:rsid w:val="005011A2"/>
    <w:rsid w:val="00503B66"/>
    <w:rsid w:val="00503D6E"/>
    <w:rsid w:val="005042A8"/>
    <w:rsid w:val="005104AD"/>
    <w:rsid w:val="00512611"/>
    <w:rsid w:val="005232F2"/>
    <w:rsid w:val="00523DB4"/>
    <w:rsid w:val="00523EBE"/>
    <w:rsid w:val="005257AD"/>
    <w:rsid w:val="00531071"/>
    <w:rsid w:val="00531586"/>
    <w:rsid w:val="005435D8"/>
    <w:rsid w:val="0054440A"/>
    <w:rsid w:val="00552DF8"/>
    <w:rsid w:val="00561F74"/>
    <w:rsid w:val="00565C5F"/>
    <w:rsid w:val="00565D5A"/>
    <w:rsid w:val="00567636"/>
    <w:rsid w:val="00567755"/>
    <w:rsid w:val="005870F4"/>
    <w:rsid w:val="005979B5"/>
    <w:rsid w:val="005A12DD"/>
    <w:rsid w:val="005A2241"/>
    <w:rsid w:val="005B1E83"/>
    <w:rsid w:val="005B7380"/>
    <w:rsid w:val="005B7D9A"/>
    <w:rsid w:val="005C1C79"/>
    <w:rsid w:val="005C41A6"/>
    <w:rsid w:val="005C4932"/>
    <w:rsid w:val="005D45CA"/>
    <w:rsid w:val="005D5A1E"/>
    <w:rsid w:val="005E6C75"/>
    <w:rsid w:val="005F046E"/>
    <w:rsid w:val="005F279A"/>
    <w:rsid w:val="005F3485"/>
    <w:rsid w:val="005F4706"/>
    <w:rsid w:val="00601742"/>
    <w:rsid w:val="00601AFE"/>
    <w:rsid w:val="00601B01"/>
    <w:rsid w:val="006043FF"/>
    <w:rsid w:val="006106DC"/>
    <w:rsid w:val="006109B2"/>
    <w:rsid w:val="00610E4B"/>
    <w:rsid w:val="006137AF"/>
    <w:rsid w:val="00614787"/>
    <w:rsid w:val="0062166B"/>
    <w:rsid w:val="00633BB7"/>
    <w:rsid w:val="00646B66"/>
    <w:rsid w:val="0064757B"/>
    <w:rsid w:val="006516ED"/>
    <w:rsid w:val="0065203D"/>
    <w:rsid w:val="006569F5"/>
    <w:rsid w:val="00657BCD"/>
    <w:rsid w:val="00666D0B"/>
    <w:rsid w:val="00670845"/>
    <w:rsid w:val="0067193A"/>
    <w:rsid w:val="006754B6"/>
    <w:rsid w:val="006779FB"/>
    <w:rsid w:val="00680BAF"/>
    <w:rsid w:val="00686C18"/>
    <w:rsid w:val="00690D93"/>
    <w:rsid w:val="006966F1"/>
    <w:rsid w:val="00697459"/>
    <w:rsid w:val="006A420B"/>
    <w:rsid w:val="006A6051"/>
    <w:rsid w:val="006C496E"/>
    <w:rsid w:val="006C674A"/>
    <w:rsid w:val="006D43FF"/>
    <w:rsid w:val="006D5D31"/>
    <w:rsid w:val="006D5E3C"/>
    <w:rsid w:val="006D7288"/>
    <w:rsid w:val="006E1113"/>
    <w:rsid w:val="006E2B60"/>
    <w:rsid w:val="006E2D82"/>
    <w:rsid w:val="006E3D61"/>
    <w:rsid w:val="006F7F9A"/>
    <w:rsid w:val="00700BC4"/>
    <w:rsid w:val="007139EE"/>
    <w:rsid w:val="00713E4B"/>
    <w:rsid w:val="00714578"/>
    <w:rsid w:val="007145E0"/>
    <w:rsid w:val="00714E7E"/>
    <w:rsid w:val="00727AE0"/>
    <w:rsid w:val="00732A63"/>
    <w:rsid w:val="00743A1B"/>
    <w:rsid w:val="00746825"/>
    <w:rsid w:val="007524A7"/>
    <w:rsid w:val="00753FAE"/>
    <w:rsid w:val="00762CFB"/>
    <w:rsid w:val="0076396A"/>
    <w:rsid w:val="00763ECC"/>
    <w:rsid w:val="00776FC1"/>
    <w:rsid w:val="00782C7B"/>
    <w:rsid w:val="007853BB"/>
    <w:rsid w:val="00785D0B"/>
    <w:rsid w:val="00795AD5"/>
    <w:rsid w:val="007977ED"/>
    <w:rsid w:val="007A71DE"/>
    <w:rsid w:val="007B7A18"/>
    <w:rsid w:val="007C0FC4"/>
    <w:rsid w:val="007C4D59"/>
    <w:rsid w:val="007D0671"/>
    <w:rsid w:val="007D1FD1"/>
    <w:rsid w:val="007D34FF"/>
    <w:rsid w:val="007D559E"/>
    <w:rsid w:val="007D5C6C"/>
    <w:rsid w:val="007D7501"/>
    <w:rsid w:val="007D76F0"/>
    <w:rsid w:val="007E2BFD"/>
    <w:rsid w:val="007E45D5"/>
    <w:rsid w:val="007E5C2D"/>
    <w:rsid w:val="007F3067"/>
    <w:rsid w:val="007F6187"/>
    <w:rsid w:val="007F6AEF"/>
    <w:rsid w:val="00800BB6"/>
    <w:rsid w:val="00801E4F"/>
    <w:rsid w:val="00803A6F"/>
    <w:rsid w:val="00805ADA"/>
    <w:rsid w:val="00812641"/>
    <w:rsid w:val="0081447E"/>
    <w:rsid w:val="00816E0D"/>
    <w:rsid w:val="008305A7"/>
    <w:rsid w:val="00835C40"/>
    <w:rsid w:val="00836201"/>
    <w:rsid w:val="008436AB"/>
    <w:rsid w:val="00850ED7"/>
    <w:rsid w:val="00856023"/>
    <w:rsid w:val="00860BDA"/>
    <w:rsid w:val="00864036"/>
    <w:rsid w:val="00871D6F"/>
    <w:rsid w:val="008821B8"/>
    <w:rsid w:val="00885480"/>
    <w:rsid w:val="00887EFF"/>
    <w:rsid w:val="00890905"/>
    <w:rsid w:val="00891D4A"/>
    <w:rsid w:val="0089378B"/>
    <w:rsid w:val="008938C2"/>
    <w:rsid w:val="008978CA"/>
    <w:rsid w:val="008A0773"/>
    <w:rsid w:val="008A128F"/>
    <w:rsid w:val="008B5367"/>
    <w:rsid w:val="008C0F5F"/>
    <w:rsid w:val="008D0373"/>
    <w:rsid w:val="008D2EBF"/>
    <w:rsid w:val="008E103D"/>
    <w:rsid w:val="008E2FC2"/>
    <w:rsid w:val="008E41FF"/>
    <w:rsid w:val="008F417A"/>
    <w:rsid w:val="008F499A"/>
    <w:rsid w:val="008F5C44"/>
    <w:rsid w:val="00901BC1"/>
    <w:rsid w:val="009032C9"/>
    <w:rsid w:val="009037F5"/>
    <w:rsid w:val="009038DE"/>
    <w:rsid w:val="00904333"/>
    <w:rsid w:val="00906270"/>
    <w:rsid w:val="009075E7"/>
    <w:rsid w:val="00911A2F"/>
    <w:rsid w:val="0091350E"/>
    <w:rsid w:val="00926DCE"/>
    <w:rsid w:val="00932DDF"/>
    <w:rsid w:val="00936432"/>
    <w:rsid w:val="00946F08"/>
    <w:rsid w:val="009538A2"/>
    <w:rsid w:val="00953E3D"/>
    <w:rsid w:val="009544A4"/>
    <w:rsid w:val="009600FC"/>
    <w:rsid w:val="00962749"/>
    <w:rsid w:val="00967951"/>
    <w:rsid w:val="00973552"/>
    <w:rsid w:val="00980038"/>
    <w:rsid w:val="00983DBB"/>
    <w:rsid w:val="00991732"/>
    <w:rsid w:val="00992762"/>
    <w:rsid w:val="009941A2"/>
    <w:rsid w:val="009A010B"/>
    <w:rsid w:val="009A0CE6"/>
    <w:rsid w:val="009A10DF"/>
    <w:rsid w:val="009A2A42"/>
    <w:rsid w:val="009B0D99"/>
    <w:rsid w:val="009B2282"/>
    <w:rsid w:val="009B2D24"/>
    <w:rsid w:val="009C1396"/>
    <w:rsid w:val="009C2378"/>
    <w:rsid w:val="009C55B2"/>
    <w:rsid w:val="009C7B81"/>
    <w:rsid w:val="009D17EC"/>
    <w:rsid w:val="009D4798"/>
    <w:rsid w:val="009E01FA"/>
    <w:rsid w:val="009E60B9"/>
    <w:rsid w:val="00A0380F"/>
    <w:rsid w:val="00A06D58"/>
    <w:rsid w:val="00A07655"/>
    <w:rsid w:val="00A137D4"/>
    <w:rsid w:val="00A1428C"/>
    <w:rsid w:val="00A149ED"/>
    <w:rsid w:val="00A168B1"/>
    <w:rsid w:val="00A22E03"/>
    <w:rsid w:val="00A23610"/>
    <w:rsid w:val="00A24009"/>
    <w:rsid w:val="00A3320A"/>
    <w:rsid w:val="00A35216"/>
    <w:rsid w:val="00A43D98"/>
    <w:rsid w:val="00A4438C"/>
    <w:rsid w:val="00A45DD9"/>
    <w:rsid w:val="00A461E3"/>
    <w:rsid w:val="00A473A9"/>
    <w:rsid w:val="00A47652"/>
    <w:rsid w:val="00A4797F"/>
    <w:rsid w:val="00A51862"/>
    <w:rsid w:val="00A52A81"/>
    <w:rsid w:val="00A56103"/>
    <w:rsid w:val="00A566D0"/>
    <w:rsid w:val="00A56823"/>
    <w:rsid w:val="00A57B87"/>
    <w:rsid w:val="00A60E4B"/>
    <w:rsid w:val="00A6181E"/>
    <w:rsid w:val="00A65FA2"/>
    <w:rsid w:val="00A67436"/>
    <w:rsid w:val="00A67A07"/>
    <w:rsid w:val="00A72A13"/>
    <w:rsid w:val="00A73896"/>
    <w:rsid w:val="00A73C2B"/>
    <w:rsid w:val="00A84DDB"/>
    <w:rsid w:val="00A8536E"/>
    <w:rsid w:val="00A902B0"/>
    <w:rsid w:val="00A92832"/>
    <w:rsid w:val="00A949A6"/>
    <w:rsid w:val="00AA1F59"/>
    <w:rsid w:val="00AA6490"/>
    <w:rsid w:val="00AB65C9"/>
    <w:rsid w:val="00AD3EAD"/>
    <w:rsid w:val="00AD401A"/>
    <w:rsid w:val="00AD4C8D"/>
    <w:rsid w:val="00AE032B"/>
    <w:rsid w:val="00AE4C95"/>
    <w:rsid w:val="00AE7B4C"/>
    <w:rsid w:val="00AF56A3"/>
    <w:rsid w:val="00AF7403"/>
    <w:rsid w:val="00B10641"/>
    <w:rsid w:val="00B10AF3"/>
    <w:rsid w:val="00B10C18"/>
    <w:rsid w:val="00B1402C"/>
    <w:rsid w:val="00B230E3"/>
    <w:rsid w:val="00B251AB"/>
    <w:rsid w:val="00B26095"/>
    <w:rsid w:val="00B42A54"/>
    <w:rsid w:val="00B449FD"/>
    <w:rsid w:val="00B45459"/>
    <w:rsid w:val="00B47146"/>
    <w:rsid w:val="00B47DAB"/>
    <w:rsid w:val="00B521E6"/>
    <w:rsid w:val="00B5616C"/>
    <w:rsid w:val="00B56CB6"/>
    <w:rsid w:val="00B56E3C"/>
    <w:rsid w:val="00B64813"/>
    <w:rsid w:val="00B73EDA"/>
    <w:rsid w:val="00B76398"/>
    <w:rsid w:val="00B77637"/>
    <w:rsid w:val="00B85F32"/>
    <w:rsid w:val="00B868F1"/>
    <w:rsid w:val="00B90E9F"/>
    <w:rsid w:val="00B93051"/>
    <w:rsid w:val="00B974DC"/>
    <w:rsid w:val="00BA4D3F"/>
    <w:rsid w:val="00BA6A6C"/>
    <w:rsid w:val="00BB37A3"/>
    <w:rsid w:val="00BB4AED"/>
    <w:rsid w:val="00BB75A8"/>
    <w:rsid w:val="00BC0F29"/>
    <w:rsid w:val="00BC4775"/>
    <w:rsid w:val="00BD0BA7"/>
    <w:rsid w:val="00BE1094"/>
    <w:rsid w:val="00BE5B62"/>
    <w:rsid w:val="00BE6BB7"/>
    <w:rsid w:val="00BF2739"/>
    <w:rsid w:val="00BF3250"/>
    <w:rsid w:val="00BF397E"/>
    <w:rsid w:val="00BF4277"/>
    <w:rsid w:val="00BF4853"/>
    <w:rsid w:val="00BF63F9"/>
    <w:rsid w:val="00C0244D"/>
    <w:rsid w:val="00C06B7C"/>
    <w:rsid w:val="00C10662"/>
    <w:rsid w:val="00C115E7"/>
    <w:rsid w:val="00C135F2"/>
    <w:rsid w:val="00C1524E"/>
    <w:rsid w:val="00C210B2"/>
    <w:rsid w:val="00C2202C"/>
    <w:rsid w:val="00C224A8"/>
    <w:rsid w:val="00C2311D"/>
    <w:rsid w:val="00C242C0"/>
    <w:rsid w:val="00C247FF"/>
    <w:rsid w:val="00C25DA0"/>
    <w:rsid w:val="00C27189"/>
    <w:rsid w:val="00C307A1"/>
    <w:rsid w:val="00C33291"/>
    <w:rsid w:val="00C361CE"/>
    <w:rsid w:val="00C46B82"/>
    <w:rsid w:val="00C46E66"/>
    <w:rsid w:val="00C533CC"/>
    <w:rsid w:val="00C547EC"/>
    <w:rsid w:val="00C548F7"/>
    <w:rsid w:val="00C557BE"/>
    <w:rsid w:val="00C62CE2"/>
    <w:rsid w:val="00C70A1F"/>
    <w:rsid w:val="00C73CA1"/>
    <w:rsid w:val="00C76E83"/>
    <w:rsid w:val="00C7739A"/>
    <w:rsid w:val="00C90123"/>
    <w:rsid w:val="00C92A55"/>
    <w:rsid w:val="00C938E4"/>
    <w:rsid w:val="00C97018"/>
    <w:rsid w:val="00C97923"/>
    <w:rsid w:val="00C97A5B"/>
    <w:rsid w:val="00CA2F93"/>
    <w:rsid w:val="00CA4D64"/>
    <w:rsid w:val="00CA4F94"/>
    <w:rsid w:val="00CA5CF7"/>
    <w:rsid w:val="00CB36C1"/>
    <w:rsid w:val="00CB4303"/>
    <w:rsid w:val="00CB4F43"/>
    <w:rsid w:val="00CC03CE"/>
    <w:rsid w:val="00CC1299"/>
    <w:rsid w:val="00CC1E41"/>
    <w:rsid w:val="00CC1E47"/>
    <w:rsid w:val="00CC69E8"/>
    <w:rsid w:val="00CD03FE"/>
    <w:rsid w:val="00CD375E"/>
    <w:rsid w:val="00CE1F57"/>
    <w:rsid w:val="00CE2BC1"/>
    <w:rsid w:val="00CE50D7"/>
    <w:rsid w:val="00CF1632"/>
    <w:rsid w:val="00CF587F"/>
    <w:rsid w:val="00D00027"/>
    <w:rsid w:val="00D04CF6"/>
    <w:rsid w:val="00D07106"/>
    <w:rsid w:val="00D107F9"/>
    <w:rsid w:val="00D24B44"/>
    <w:rsid w:val="00D2644F"/>
    <w:rsid w:val="00D31C7D"/>
    <w:rsid w:val="00D42746"/>
    <w:rsid w:val="00D5186E"/>
    <w:rsid w:val="00D553FE"/>
    <w:rsid w:val="00D57C04"/>
    <w:rsid w:val="00D61A30"/>
    <w:rsid w:val="00D640FC"/>
    <w:rsid w:val="00D64900"/>
    <w:rsid w:val="00D6639B"/>
    <w:rsid w:val="00D75B95"/>
    <w:rsid w:val="00D80A9A"/>
    <w:rsid w:val="00D83222"/>
    <w:rsid w:val="00D8625B"/>
    <w:rsid w:val="00D9785F"/>
    <w:rsid w:val="00DA012F"/>
    <w:rsid w:val="00DA60F5"/>
    <w:rsid w:val="00DA68C5"/>
    <w:rsid w:val="00DC078A"/>
    <w:rsid w:val="00DC1F37"/>
    <w:rsid w:val="00DC28C7"/>
    <w:rsid w:val="00DC3236"/>
    <w:rsid w:val="00DC56EA"/>
    <w:rsid w:val="00DD6F36"/>
    <w:rsid w:val="00DE300A"/>
    <w:rsid w:val="00DE4BCD"/>
    <w:rsid w:val="00DF194E"/>
    <w:rsid w:val="00DF1986"/>
    <w:rsid w:val="00DF4147"/>
    <w:rsid w:val="00DF7E40"/>
    <w:rsid w:val="00E0203D"/>
    <w:rsid w:val="00E0569F"/>
    <w:rsid w:val="00E123AB"/>
    <w:rsid w:val="00E12C08"/>
    <w:rsid w:val="00E16ABC"/>
    <w:rsid w:val="00E25B22"/>
    <w:rsid w:val="00E27494"/>
    <w:rsid w:val="00E32C16"/>
    <w:rsid w:val="00E332CE"/>
    <w:rsid w:val="00E344FA"/>
    <w:rsid w:val="00E427ED"/>
    <w:rsid w:val="00E453D4"/>
    <w:rsid w:val="00E45A95"/>
    <w:rsid w:val="00E4615E"/>
    <w:rsid w:val="00E5433E"/>
    <w:rsid w:val="00E6400A"/>
    <w:rsid w:val="00E7011B"/>
    <w:rsid w:val="00E70826"/>
    <w:rsid w:val="00E71F4E"/>
    <w:rsid w:val="00E7243C"/>
    <w:rsid w:val="00E731C6"/>
    <w:rsid w:val="00E751EF"/>
    <w:rsid w:val="00E800C9"/>
    <w:rsid w:val="00E81FAF"/>
    <w:rsid w:val="00E8734D"/>
    <w:rsid w:val="00E8782C"/>
    <w:rsid w:val="00E95AB3"/>
    <w:rsid w:val="00E96169"/>
    <w:rsid w:val="00EA3F71"/>
    <w:rsid w:val="00EA4250"/>
    <w:rsid w:val="00EA54BC"/>
    <w:rsid w:val="00EC6123"/>
    <w:rsid w:val="00EC6A03"/>
    <w:rsid w:val="00ED0ECD"/>
    <w:rsid w:val="00ED44B9"/>
    <w:rsid w:val="00ED47A4"/>
    <w:rsid w:val="00EE6D98"/>
    <w:rsid w:val="00EF1F1F"/>
    <w:rsid w:val="00EF2F2D"/>
    <w:rsid w:val="00EF3C74"/>
    <w:rsid w:val="00F07E2B"/>
    <w:rsid w:val="00F1641B"/>
    <w:rsid w:val="00F16EDA"/>
    <w:rsid w:val="00F215DB"/>
    <w:rsid w:val="00F31304"/>
    <w:rsid w:val="00F314E4"/>
    <w:rsid w:val="00F33CB8"/>
    <w:rsid w:val="00F40EAF"/>
    <w:rsid w:val="00F40F37"/>
    <w:rsid w:val="00F420D4"/>
    <w:rsid w:val="00F43BCF"/>
    <w:rsid w:val="00F54D11"/>
    <w:rsid w:val="00F57C59"/>
    <w:rsid w:val="00F61140"/>
    <w:rsid w:val="00F61564"/>
    <w:rsid w:val="00F6277E"/>
    <w:rsid w:val="00F6751E"/>
    <w:rsid w:val="00F8399A"/>
    <w:rsid w:val="00F85279"/>
    <w:rsid w:val="00F85317"/>
    <w:rsid w:val="00F9091D"/>
    <w:rsid w:val="00F97B1B"/>
    <w:rsid w:val="00FA42B0"/>
    <w:rsid w:val="00FA58E4"/>
    <w:rsid w:val="00FB489D"/>
    <w:rsid w:val="00FC0330"/>
    <w:rsid w:val="00FC3A42"/>
    <w:rsid w:val="00FC6341"/>
    <w:rsid w:val="00FC6DCD"/>
    <w:rsid w:val="00FC7AA6"/>
    <w:rsid w:val="00FD1245"/>
    <w:rsid w:val="00FD17BE"/>
    <w:rsid w:val="00FE1AE4"/>
    <w:rsid w:val="00FE1B2D"/>
    <w:rsid w:val="00FE3028"/>
    <w:rsid w:val="00FE6D75"/>
    <w:rsid w:val="00FF080A"/>
    <w:rsid w:val="00FF1CA4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97B7"/>
  <w15:docId w15:val="{68377BFC-9EB9-4E1C-8063-E1EE7512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B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3D98"/>
    <w:rPr>
      <w:rFonts w:ascii="Calibri" w:hAnsi="Calibri"/>
      <w:lang w:val="ru-RU" w:eastAsia="ru-RU"/>
    </w:rPr>
  </w:style>
  <w:style w:type="paragraph" w:styleId="a4">
    <w:name w:val="No Spacing"/>
    <w:link w:val="a3"/>
    <w:uiPriority w:val="1"/>
    <w:qFormat/>
    <w:rsid w:val="00A43D98"/>
    <w:pPr>
      <w:spacing w:after="0" w:line="240" w:lineRule="auto"/>
    </w:pPr>
    <w:rPr>
      <w:rFonts w:ascii="Calibri" w:hAnsi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C7D"/>
    <w:rPr>
      <w:rFonts w:ascii="Segoe UI" w:hAnsi="Segoe UI" w:cs="Segoe UI"/>
      <w:sz w:val="18"/>
      <w:szCs w:val="18"/>
      <w:lang w:val="ru-RU"/>
    </w:rPr>
  </w:style>
  <w:style w:type="paragraph" w:styleId="a7">
    <w:name w:val="annotation text"/>
    <w:basedOn w:val="a"/>
    <w:link w:val="a8"/>
    <w:uiPriority w:val="99"/>
    <w:unhideWhenUsed/>
    <w:rsid w:val="003D2C53"/>
    <w:pPr>
      <w:spacing w:after="200" w:line="240" w:lineRule="auto"/>
    </w:pPr>
    <w:rPr>
      <w:rFonts w:eastAsiaTheme="minorEastAsia" w:cs="Times New Roman"/>
      <w:sz w:val="20"/>
      <w:szCs w:val="20"/>
      <w:lang w:val="ro-RO" w:eastAsia="en-GB"/>
    </w:rPr>
  </w:style>
  <w:style w:type="character" w:customStyle="1" w:styleId="a8">
    <w:name w:val="Текст примечания Знак"/>
    <w:basedOn w:val="a0"/>
    <w:link w:val="a7"/>
    <w:uiPriority w:val="99"/>
    <w:rsid w:val="003D2C53"/>
    <w:rPr>
      <w:rFonts w:eastAsiaTheme="minorEastAsia" w:cs="Times New Roman"/>
      <w:sz w:val="20"/>
      <w:szCs w:val="20"/>
      <w:lang w:val="ro-RO" w:eastAsia="en-GB"/>
    </w:rPr>
  </w:style>
  <w:style w:type="paragraph" w:styleId="a9">
    <w:name w:val="List Paragraph"/>
    <w:basedOn w:val="a"/>
    <w:uiPriority w:val="34"/>
    <w:qFormat/>
    <w:rsid w:val="003D2C53"/>
    <w:pPr>
      <w:ind w:left="720"/>
      <w:contextualSpacing/>
    </w:pPr>
    <w:rPr>
      <w:rFonts w:eastAsia="Times New Roman" w:hAnsi="Times New Roman" w:cs="Times New Roman"/>
      <w:lang w:val="en-US"/>
    </w:rPr>
  </w:style>
  <w:style w:type="character" w:styleId="aa">
    <w:name w:val="endnote reference"/>
    <w:basedOn w:val="a0"/>
    <w:uiPriority w:val="99"/>
    <w:semiHidden/>
    <w:unhideWhenUsed/>
    <w:rsid w:val="0043118C"/>
    <w:rPr>
      <w:rFonts w:cs="Times New Roman"/>
      <w:vertAlign w:val="superscript"/>
    </w:rPr>
  </w:style>
  <w:style w:type="paragraph" w:styleId="ab">
    <w:name w:val="Normal (Web)"/>
    <w:basedOn w:val="a"/>
    <w:uiPriority w:val="99"/>
    <w:semiHidden/>
    <w:unhideWhenUsed/>
    <w:rsid w:val="0052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518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186E"/>
    <w:rPr>
      <w:lang w:val="ru-RU"/>
    </w:rPr>
  </w:style>
  <w:style w:type="paragraph" w:styleId="ae">
    <w:name w:val="footer"/>
    <w:basedOn w:val="a"/>
    <w:link w:val="af"/>
    <w:uiPriority w:val="99"/>
    <w:unhideWhenUsed/>
    <w:rsid w:val="00D5186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186E"/>
    <w:rPr>
      <w:lang w:val="ru-RU"/>
    </w:rPr>
  </w:style>
  <w:style w:type="paragraph" w:customStyle="1" w:styleId="EmptyCellLayoutStyle">
    <w:name w:val="EmptyCellLayoutStyle"/>
    <w:rsid w:val="00ED0ECD"/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table" w:styleId="af0">
    <w:name w:val="Table Grid"/>
    <w:basedOn w:val="a1"/>
    <w:uiPriority w:val="39"/>
    <w:rsid w:val="0074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6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Hantea%20Svetlana\Raport%202022\Basic%202020-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restanța la începutul prioadei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208</c:v>
                </c:pt>
                <c:pt idx="1">
                  <c:v>265</c:v>
                </c:pt>
                <c:pt idx="2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FF-4E47-869B-6B31448870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noi înregistrate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1875</c:v>
                </c:pt>
                <c:pt idx="1">
                  <c:v>2130</c:v>
                </c:pt>
                <c:pt idx="2">
                  <c:v>2332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FF-4E47-869B-6B314488702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655593551538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D0C-4864-AA5E-B92FFD8C22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1818</c:v>
                </c:pt>
                <c:pt idx="1">
                  <c:v>2060</c:v>
                </c:pt>
                <c:pt idx="2">
                  <c:v>2091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FF-4E47-869B-6B314488702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rastanța la sfîrșitul perioadei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265</c:v>
                </c:pt>
                <c:pt idx="1">
                  <c:v>335</c:v>
                </c:pt>
                <c:pt idx="2">
                  <c:v>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4FF-4E47-869B-6B31448870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46375280"/>
        <c:axId val="-1446374736"/>
      </c:barChart>
      <c:catAx>
        <c:axId val="-1446375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46374736"/>
        <c:crosses val="autoZero"/>
        <c:auto val="1"/>
        <c:lblAlgn val="ctr"/>
        <c:lblOffset val="100"/>
        <c:noMultiLvlLbl val="0"/>
      </c:catAx>
      <c:valAx>
        <c:axId val="-144637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4637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CAUZE PENALE EXAMINATE ÎN PROCEDURA ORDINII DE APEL RATA SENTINȚELOR MENȚINUTE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F88-47FE-8717-4E0C82281D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0.41199999999999998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09-41DC-AC35-433CE2A947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0.37369999999999998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09-41DC-AC35-433CE2A947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0.38490000000000002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09-41DC-AC35-433CE2A947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48533152"/>
        <c:axId val="-1448532608"/>
      </c:barChart>
      <c:catAx>
        <c:axId val="-14485331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48532608"/>
        <c:crosses val="autoZero"/>
        <c:auto val="1"/>
        <c:lblAlgn val="ctr"/>
        <c:lblOffset val="100"/>
        <c:noMultiLvlLbl val="0"/>
      </c:catAx>
      <c:valAx>
        <c:axId val="-144853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485331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CAUZE PENALE EXAMINATE ÎN PROCEDURA ORDINII DE APEL 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RATA</a:t>
            </a:r>
            <a:r>
              <a:rPr lang="ro-MD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SENTINȚELOR MODIFICATE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64A5-4170-B19B-70226FE91C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1B-4804-AE05-04D6502403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0.51249999999999996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1B-4804-AE05-04D6502403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0.45629999999999998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1B-4804-AE05-04D6502403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542466912"/>
        <c:axId val="-1542466368"/>
      </c:barChart>
      <c:catAx>
        <c:axId val="-15424669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542466368"/>
        <c:crosses val="autoZero"/>
        <c:auto val="1"/>
        <c:lblAlgn val="ctr"/>
        <c:lblOffset val="100"/>
        <c:noMultiLvlLbl val="0"/>
      </c:catAx>
      <c:valAx>
        <c:axId val="-154246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4246691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318519574193495E-2"/>
          <c:y val="7.7575757575757576E-2"/>
          <c:w val="0.65596639786542521"/>
          <c:h val="0.83419021713194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Cauze aflate în procedura în apel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408</c:v>
                </c:pt>
                <c:pt idx="1">
                  <c:v>456</c:v>
                </c:pt>
                <c:pt idx="2">
                  <c:v>428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CB-4276-AA1F-C053EE2CB0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soluționate în procedura de apel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265</c:v>
                </c:pt>
                <c:pt idx="1">
                  <c:v>313</c:v>
                </c:pt>
                <c:pt idx="2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CB-4276-AA1F-C053EE2CB0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restanța la sfîrșitul perioadei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655593551538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8CB-4276-AA1F-C053EE2CB0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143</c:v>
                </c:pt>
                <c:pt idx="1">
                  <c:v>143</c:v>
                </c:pt>
                <c:pt idx="2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CB-4276-AA1F-C053EE2CB02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Restanța cauzelor în procedura de apel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0-7A62-4A28-9EA5-215387675D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613808640"/>
        <c:axId val="-1613812448"/>
      </c:barChart>
      <c:catAx>
        <c:axId val="-1613808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13812448"/>
        <c:crosses val="autoZero"/>
        <c:auto val="1"/>
        <c:lblAlgn val="ctr"/>
        <c:lblOffset val="100"/>
        <c:noMultiLvlLbl val="0"/>
      </c:catAx>
      <c:valAx>
        <c:axId val="-161381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1380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CAUZE CIVILE ȘI CONTENCIOS ADMINISTRATIV EXAMINATE ÎN PROCEDURA ORDINII DE APEL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RATA</a:t>
            </a:r>
            <a:r>
              <a:rPr lang="ro-MD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HOTĂRÎRILOR MENȚINUTE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AE6-4F74-AC93-1F63B91EB2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0.38009999999999999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21-482B-8512-C3E97B961A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0.45689999999999997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21-482B-8512-C3E97B961A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0.39560000000000001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21-482B-8512-C3E97B961A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92448"/>
        <c:axId val="-1457089184"/>
      </c:barChart>
      <c:catAx>
        <c:axId val="-14570924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57089184"/>
        <c:crosses val="autoZero"/>
        <c:auto val="1"/>
        <c:lblAlgn val="ctr"/>
        <c:lblOffset val="100"/>
        <c:noMultiLvlLbl val="0"/>
      </c:catAx>
      <c:valAx>
        <c:axId val="-1457089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924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CAUZE CIVILE, CONTENCIOS ADMINISTRATIV EXAMINATE ÎN PROCEDURA ORDINII DE APEL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RATA HOTĂRÎRILOR MODIFICATE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BAE6-4F8A-B9AE-1D3A38198F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0.3962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AC-40FE-9AAD-B5687AED3B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0.28749999999999998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AC-40FE-9AAD-B5687AED3B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0.32969999999999999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AC-40FE-9AAD-B5687AED3B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77216"/>
        <c:axId val="-1457087552"/>
      </c:barChart>
      <c:catAx>
        <c:axId val="-14570772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57087552"/>
        <c:crosses val="autoZero"/>
        <c:auto val="1"/>
        <c:lblAlgn val="ctr"/>
        <c:lblOffset val="100"/>
        <c:noMultiLvlLbl val="0"/>
      </c:catAx>
      <c:valAx>
        <c:axId val="-145708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7721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318519574193495E-2"/>
          <c:y val="7.7575757575757576E-2"/>
          <c:w val="0.65596639786542521"/>
          <c:h val="0.83419021713194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Cauze penale în recurs aflate în procedură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909</c:v>
                </c:pt>
                <c:pt idx="1">
                  <c:v>997</c:v>
                </c:pt>
                <c:pt idx="2">
                  <c:v>1147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2E-4530-8277-F749D17673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839</c:v>
                </c:pt>
                <c:pt idx="1">
                  <c:v>901</c:v>
                </c:pt>
                <c:pt idx="2">
                  <c:v>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2E-4530-8277-F749D17673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Restanța la sfîrșitul perioadei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655593551538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62E-4530-8277-F749D17673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70</c:v>
                </c:pt>
                <c:pt idx="1">
                  <c:v>96</c:v>
                </c:pt>
                <c:pt idx="2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2E-4530-8277-F749D176734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57081568"/>
        <c:axId val="-1457083744"/>
      </c:barChart>
      <c:catAx>
        <c:axId val="-14570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83744"/>
        <c:crosses val="autoZero"/>
        <c:auto val="1"/>
        <c:lblAlgn val="ctr"/>
        <c:lblOffset val="100"/>
        <c:noMultiLvlLbl val="0"/>
      </c:catAx>
      <c:valAx>
        <c:axId val="-145708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8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100" b="1">
                <a:effectLst/>
              </a:rPr>
              <a:t>CAUZE PENALE EXAMINATE ÎN PROCEDURA ORDINII DE RECURS</a:t>
            </a:r>
            <a:endParaRPr lang="ro-RO" sz="1100" b="1">
              <a:effectLst/>
            </a:endParaRP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RATA</a:t>
            </a:r>
            <a:r>
              <a:rPr lang="ro-RO" sz="1100" b="1" baseline="0">
                <a:effectLst/>
              </a:rPr>
              <a:t> ÎNCHEIERILOR MENȚINUTE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308-4FC8-95FE-DFD4C4447E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0.6734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1E-410B-96CA-F70330895F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0.75800000000000001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1E-410B-96CA-F70330895F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0.78869999999999996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1E-410B-96CA-F70330895F7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90816"/>
        <c:axId val="-1457083200"/>
      </c:barChart>
      <c:catAx>
        <c:axId val="-14570908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57083200"/>
        <c:crosses val="autoZero"/>
        <c:auto val="1"/>
        <c:lblAlgn val="ctr"/>
        <c:lblOffset val="100"/>
        <c:noMultiLvlLbl val="0"/>
      </c:catAx>
      <c:valAx>
        <c:axId val="-145708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9081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MD" sz="1200">
                <a:latin typeface="Times New Roman" panose="02020603050405020304" pitchFamily="18" charset="0"/>
                <a:cs typeface="Times New Roman" panose="02020603050405020304" pitchFamily="18" charset="0"/>
              </a:rPr>
              <a:t>CAUZE PENALE EXAMINATE ÎN PROCEDURA ORDINII DE RECURS RATA ÎNCHEIERILOR MODIFICATE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723-4499-9574-D1EC4488C5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0.30509999999999998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AD-484F-982E-38247D5D0C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0.22420000000000001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AD-484F-982E-38247D5D0C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0.1966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AD-484F-982E-38247D5D0C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89728"/>
        <c:axId val="-1457080480"/>
      </c:barChart>
      <c:catAx>
        <c:axId val="-14570897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57080480"/>
        <c:crosses val="autoZero"/>
        <c:auto val="1"/>
        <c:lblAlgn val="ctr"/>
        <c:lblOffset val="100"/>
        <c:noMultiLvlLbl val="0"/>
      </c:catAx>
      <c:valAx>
        <c:axId val="-145708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897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318519574193495E-2"/>
          <c:y val="7.7575757575757576E-2"/>
          <c:w val="0.65596639786542521"/>
          <c:h val="0.83419021713194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Cauze civile aflate în procedură în recurs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234</c:v>
                </c:pt>
                <c:pt idx="1">
                  <c:v>256</c:v>
                </c:pt>
                <c:pt idx="2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0F-49DC-8F74-2281690FFF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217</c:v>
                </c:pt>
                <c:pt idx="1">
                  <c:v>237</c:v>
                </c:pt>
                <c:pt idx="2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3-4C15-B66C-FBC7B34C70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Restanța la sfîrșitul perioadei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17</c:v>
                </c:pt>
                <c:pt idx="1">
                  <c:v>19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D3-4C15-B66C-FBC7B34C70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57086464"/>
        <c:axId val="-1457084832"/>
      </c:barChart>
      <c:catAx>
        <c:axId val="-145708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84832"/>
        <c:crosses val="autoZero"/>
        <c:auto val="1"/>
        <c:lblAlgn val="ctr"/>
        <c:lblOffset val="100"/>
        <c:noMultiLvlLbl val="0"/>
      </c:catAx>
      <c:valAx>
        <c:axId val="-145708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8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PROCEDURA EXAMINĂRII CAUZELOR </a:t>
            </a:r>
            <a:r>
              <a:rPr lang="ro-RO" sz="1100" b="1" i="0" u="none" strike="noStrike" cap="none" normalizeH="0" baseline="0">
                <a:effectLst/>
              </a:rPr>
              <a:t>CIVILE, CONTENCIOS ADMINISTRATIV ȘI INSOLVABILITATE  ÎN </a:t>
            </a:r>
            <a:r>
              <a:rPr lang="ro-RO" sz="1100" b="1">
                <a:effectLst/>
              </a:rPr>
              <a:t>ORDINII DE RECURS</a:t>
            </a:r>
            <a:r>
              <a:rPr lang="ro-MD" sz="1100" b="1" baseline="0">
                <a:effectLst/>
              </a:rPr>
              <a:t>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RATA</a:t>
            </a:r>
            <a:r>
              <a:rPr lang="ro-RO" sz="1100" b="1" baseline="0">
                <a:effectLst/>
              </a:rPr>
              <a:t> ÎNCHEIERILOR MENȚINUTE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A52-48C8-80BF-FDA3B30245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0.68200000000000005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BE-422C-B61E-AD12347B0B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0.5232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BE-422C-B61E-AD12347B0B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0.7077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BE-422C-B61E-AD12347B0B6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90272"/>
        <c:axId val="-1457082112"/>
      </c:barChart>
      <c:catAx>
        <c:axId val="-14570902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457082112"/>
        <c:crosses val="autoZero"/>
        <c:auto val="1"/>
        <c:lblAlgn val="ctr"/>
        <c:lblOffset val="100"/>
        <c:noMultiLvlLbl val="0"/>
      </c:catAx>
      <c:valAx>
        <c:axId val="-145708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90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spPr>
            <a:ln w="317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208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69A-493C-9E72-015987EB16E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69A-493C-9E72-015987EB16ED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335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69A-493C-9E72-015987EB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dk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208</c:v>
                </c:pt>
                <c:pt idx="1">
                  <c:v>265</c:v>
                </c:pt>
                <c:pt idx="2">
                  <c:v>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1FF-4809-97C6-10FAE77FFE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spPr>
            <a:ln w="31750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69A-493C-9E72-015987EB16E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69A-493C-9E72-015987EB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dk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38</c:v>
                </c:pt>
                <c:pt idx="1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1FF-4809-97C6-10FAE77FFEC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446380176"/>
        <c:axId val="-1446387248"/>
      </c:lineChart>
      <c:catAx>
        <c:axId val="-144638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46387248"/>
        <c:crosses val="autoZero"/>
        <c:auto val="1"/>
        <c:lblAlgn val="ctr"/>
        <c:lblOffset val="100"/>
        <c:noMultiLvlLbl val="0"/>
      </c:catAx>
      <c:valAx>
        <c:axId val="-1446387248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-1446380176"/>
        <c:crosses val="autoZero"/>
        <c:crossBetween val="between"/>
      </c:valAx>
      <c:spPr>
        <a:solidFill>
          <a:schemeClr val="dk1">
            <a:tint val="20000"/>
          </a:schemeClr>
        </a:solidFill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6350" cap="flat" cmpd="sng" algn="ctr">
      <a:solidFill>
        <a:schemeClr val="dk1">
          <a:tint val="75000"/>
        </a:schemeClr>
      </a:solidFill>
      <a:prstDash val="solid"/>
      <a:round/>
    </a:ln>
    <a:effectLst/>
  </c:spPr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RO" sz="1200" b="1">
                <a:effectLst/>
              </a:rPr>
              <a:t>PROCEDURA EXAMINĂRII CAUZELOR </a:t>
            </a:r>
            <a:r>
              <a:rPr lang="ro-RO" sz="1200" b="1" i="0" u="none" strike="noStrike" cap="none" normalizeH="0" baseline="0">
                <a:effectLst/>
              </a:rPr>
              <a:t>CIVILE, CONTENCIOS ADMINISTRATIV ȘI INSOLVABILITATE  ÎN ORDINE </a:t>
            </a:r>
            <a:r>
              <a:rPr lang="ro-RO" sz="1200" b="1">
                <a:effectLst/>
              </a:rPr>
              <a:t>DE RECURS</a:t>
            </a:r>
            <a:r>
              <a:rPr lang="ro-MD" sz="1200" b="1" baseline="0">
                <a:effectLst/>
              </a:rPr>
              <a:t>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RO" sz="1200" b="1">
                <a:effectLst/>
              </a:rPr>
              <a:t>RATA</a:t>
            </a:r>
            <a:r>
              <a:rPr lang="ro-RO" sz="1200" b="1" baseline="0">
                <a:effectLst/>
              </a:rPr>
              <a:t> ÎNCHEIERILOR MODIFICATE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C36-407B-88D7-149905D436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0.26269999999999999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44-4553-BF0B-F88C88A8A5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0.3629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44-4553-BF0B-F88C88A8A5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44-4553-BF0B-F88C88A8A56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457078848"/>
        <c:axId val="-1318513712"/>
      </c:barChart>
      <c:catAx>
        <c:axId val="-14570788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18513712"/>
        <c:crosses val="autoZero"/>
        <c:auto val="1"/>
        <c:lblAlgn val="ctr"/>
        <c:lblOffset val="100"/>
        <c:noMultiLvlLbl val="0"/>
      </c:catAx>
      <c:valAx>
        <c:axId val="-1318513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570788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318519574193495E-2"/>
          <c:y val="7.7575757575757576E-2"/>
          <c:w val="0.65789593232828525"/>
          <c:h val="0.83419021713194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Cauze contravenționale aflate în procedură în recurs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217</c:v>
                </c:pt>
                <c:pt idx="1">
                  <c:v>308</c:v>
                </c:pt>
                <c:pt idx="2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41-40AF-A250-1C918F68AB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194</c:v>
                </c:pt>
                <c:pt idx="1">
                  <c:v>274</c:v>
                </c:pt>
                <c:pt idx="2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41-40AF-A250-1C918F68AB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Restanța la sfîrșitul perioadei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34</c:v>
                </c:pt>
                <c:pt idx="2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41-40AF-A250-1C918F68AB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318518608"/>
        <c:axId val="-1318513168"/>
      </c:barChart>
      <c:catAx>
        <c:axId val="-131851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18513168"/>
        <c:crosses val="autoZero"/>
        <c:auto val="1"/>
        <c:lblAlgn val="ctr"/>
        <c:lblOffset val="100"/>
        <c:noMultiLvlLbl val="0"/>
      </c:catAx>
      <c:valAx>
        <c:axId val="-131851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1851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276107129155886"/>
          <c:y val="0.28977093772369361"/>
          <c:w val="0.27566150468528627"/>
          <c:h val="0.420458124552612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PROCEDURA EXAMINĂRII CAUZELOR CONTRAVENȚIONALE</a:t>
            </a:r>
            <a:r>
              <a:rPr lang="ro-RO" sz="1100" b="1" baseline="0">
                <a:effectLst/>
              </a:rPr>
              <a:t> </a:t>
            </a:r>
            <a:r>
              <a:rPr lang="ro-RO" sz="1100" b="1" i="0" u="none" strike="noStrike" cap="none" normalizeH="0" baseline="0">
                <a:effectLst/>
              </a:rPr>
              <a:t>ÎN </a:t>
            </a:r>
            <a:r>
              <a:rPr lang="ro-RO" sz="1100" b="1">
                <a:effectLst/>
              </a:rPr>
              <a:t>ORDINII DE RECURS</a:t>
            </a:r>
            <a:r>
              <a:rPr lang="ro-MD" sz="1100" b="1" baseline="0">
                <a:effectLst/>
              </a:rPr>
              <a:t>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RATA</a:t>
            </a:r>
            <a:r>
              <a:rPr lang="ro-RO" sz="1100" b="1" baseline="0">
                <a:effectLst/>
              </a:rPr>
              <a:t> ÎNCHEIERILOR MENȚINUTE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BEF-4304-8320-B276947329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0.48449999999999999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E1-4B5E-B746-51FF504427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0.4234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E1-4B5E-B746-51FF504427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0.50670000000000004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E1-4B5E-B746-51FF504427A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318518064"/>
        <c:axId val="-1318514800"/>
      </c:barChart>
      <c:catAx>
        <c:axId val="-13185180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18514800"/>
        <c:crosses val="autoZero"/>
        <c:auto val="1"/>
        <c:lblAlgn val="ctr"/>
        <c:lblOffset val="100"/>
        <c:noMultiLvlLbl val="0"/>
      </c:catAx>
      <c:valAx>
        <c:axId val="-131851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185180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PROCEDURA EXAMINĂRII CAUZELOR </a:t>
            </a:r>
            <a:r>
              <a:rPr lang="ro-RO" sz="1100" b="1" i="0" u="none" strike="noStrike" cap="none" normalizeH="0" baseline="0">
                <a:effectLst/>
              </a:rPr>
              <a:t>CONTRAVENȚIONALE ÎN ORDINE </a:t>
            </a:r>
            <a:r>
              <a:rPr lang="ro-RO" sz="1100" b="1">
                <a:effectLst/>
              </a:rPr>
              <a:t>DE RECURS</a:t>
            </a:r>
            <a:r>
              <a:rPr lang="ro-MD" sz="1100" b="1" baseline="0">
                <a:effectLst/>
              </a:rPr>
              <a:t>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o-RO" sz="1100" b="1">
                <a:effectLst/>
              </a:rPr>
              <a:t>RATA</a:t>
            </a:r>
            <a:r>
              <a:rPr lang="ro-RO" sz="1100" b="1" baseline="0">
                <a:effectLst/>
              </a:rPr>
              <a:t> ÎNCHEIERILOR MODIFICATE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AA1-4E9C-A728-52CB6E3645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0.47939999999999999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2A-4D45-B8D1-A67542EF6E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0.5474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2A-4D45-B8D1-A67542EF6ED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0.43959999999999999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2A-4D45-B8D1-A67542EF6E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318516432"/>
        <c:axId val="-1318514256"/>
      </c:barChart>
      <c:catAx>
        <c:axId val="-13185164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18514256"/>
        <c:crosses val="autoZero"/>
        <c:auto val="1"/>
        <c:lblAlgn val="ctr"/>
        <c:lblOffset val="100"/>
        <c:noMultiLvlLbl val="0"/>
      </c:catAx>
      <c:valAx>
        <c:axId val="-131851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185164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0.14623685462136024"/>
          <c:w val="0.97034540859309182"/>
          <c:h val="0.6796306082545052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265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155-43A2-87C5-24B0E41723F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155-43A2-87C5-24B0E41723F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576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155-43A2-87C5-24B0E41723FA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265</c:v>
                </c:pt>
                <c:pt idx="1">
                  <c:v>335</c:v>
                </c:pt>
                <c:pt idx="2">
                  <c:v>576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C1-445E-9FAE-1AE3A07F93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155-43A2-87C5-24B0E41723F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155-43A2-87C5-24B0E41723FA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54</c:v>
                </c:pt>
                <c:pt idx="1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FBC1-445E-9FAE-1AE3A07F93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FBC1-445E-9FAE-1AE3A07F934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590637808"/>
        <c:axId val="-1590635088"/>
      </c:lineChart>
      <c:catAx>
        <c:axId val="-159063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-1590635088"/>
        <c:crosses val="autoZero"/>
        <c:auto val="1"/>
        <c:lblAlgn val="ctr"/>
        <c:lblOffset val="100"/>
        <c:noMultiLvlLbl val="0"/>
      </c:catAx>
      <c:valAx>
        <c:axId val="-1590635088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-1590637808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42669952515476E-2"/>
          <c:y val="7.2873068109374731E-2"/>
          <c:w val="0.76560118928551946"/>
          <c:h val="0.750930092071824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A49-4E87-8F75-1D56C428C3D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A49-4E87-8F75-1D56C428C3D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A49-4E87-8F75-1D56C428C3D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A49-4E87-8F75-1D56C428C3D3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144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A49-4E87-8F75-1D56C428C3D3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A49-4E87-8F75-1D56C428C3D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cauze civile </c:v>
                </c:pt>
                <c:pt idx="1">
                  <c:v>Cauze comerciale</c:v>
                </c:pt>
                <c:pt idx="2">
                  <c:v>cauze insolvabilitate</c:v>
                </c:pt>
                <c:pt idx="3">
                  <c:v>Cauze de contencios administrative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Лист1!$B$2:$B$7</c:f>
              <c:numCache>
                <c:formatCode>0.00</c:formatCode>
                <c:ptCount val="6"/>
                <c:pt idx="0">
                  <c:v>54</c:v>
                </c:pt>
                <c:pt idx="1">
                  <c:v>13</c:v>
                </c:pt>
                <c:pt idx="2">
                  <c:v>4</c:v>
                </c:pt>
                <c:pt idx="3">
                  <c:v>27</c:v>
                </c:pt>
                <c:pt idx="4">
                  <c:v>144</c:v>
                </c:pt>
                <c:pt idx="5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73-46AD-864D-CD2C630BD2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cauze civile </c:v>
                </c:pt>
                <c:pt idx="1">
                  <c:v>Cauze comerciale</c:v>
                </c:pt>
                <c:pt idx="2">
                  <c:v>cauze insolvabilitate</c:v>
                </c:pt>
                <c:pt idx="3">
                  <c:v>Cauze de contencios administrative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</c:v>
                </c:pt>
                <c:pt idx="1">
                  <c:v>12</c:v>
                </c:pt>
                <c:pt idx="2">
                  <c:v>3</c:v>
                </c:pt>
                <c:pt idx="3">
                  <c:v>18</c:v>
                </c:pt>
                <c:pt idx="4">
                  <c:v>194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4-47A8-AC9E-7267ECE3F5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Лист1!$A$2:$A$7</c:f>
              <c:strCache>
                <c:ptCount val="6"/>
                <c:pt idx="0">
                  <c:v>cauze civile </c:v>
                </c:pt>
                <c:pt idx="1">
                  <c:v>Cauze comerciale</c:v>
                </c:pt>
                <c:pt idx="2">
                  <c:v>cauze insolvabilitate</c:v>
                </c:pt>
                <c:pt idx="3">
                  <c:v>Cauze de contencios administrative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132</c:v>
                </c:pt>
                <c:pt idx="1">
                  <c:v>18</c:v>
                </c:pt>
                <c:pt idx="2">
                  <c:v>5</c:v>
                </c:pt>
                <c:pt idx="3">
                  <c:v>14</c:v>
                </c:pt>
                <c:pt idx="4">
                  <c:v>342</c:v>
                </c:pt>
                <c:pt idx="5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6-489B-822C-5A6FBF0992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90634544"/>
        <c:axId val="-1590635632"/>
      </c:barChart>
      <c:valAx>
        <c:axId val="-159063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90634544"/>
        <c:crosses val="autoZero"/>
        <c:crossBetween val="between"/>
      </c:valAx>
      <c:catAx>
        <c:axId val="-1590634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590635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/>
      <c:overlay val="0"/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77850162866449"/>
          <c:y val="4.5824450148620403E-2"/>
          <c:w val="0.77524429967426711"/>
          <c:h val="0.6559447423056070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'[Basic 2020-2022.xlsx]Rezultat CR și DT'!$A$12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2"/>
              <c:layout>
                <c:manualLayout>
                  <c:x val="0"/>
                  <c:y val="3.2220943613348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ECA-440E-A370-39C80D3A81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DT'!$B$12:$E$12</c:f>
              <c:numCache>
                <c:formatCode>#\ ##0;\(#\ ##0\)</c:formatCode>
                <c:ptCount val="3"/>
                <c:pt idx="0" formatCode="#,##0">
                  <c:v>1875</c:v>
                </c:pt>
                <c:pt idx="1">
                  <c:v>2130</c:v>
                </c:pt>
                <c:pt idx="2">
                  <c:v>2332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A-4981-B2E2-D7131F40F1B3}"/>
            </c:ext>
          </c:extLst>
        </c:ser>
        <c:ser>
          <c:idx val="0"/>
          <c:order val="1"/>
          <c:tx>
            <c:strRef>
              <c:f>'[Basic 2020-2022.xlsx]Rezultat CR și DT'!$A$13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2"/>
              <c:layout>
                <c:manualLayout>
                  <c:x val="-3.8816108685104317E-3"/>
                  <c:y val="1.72264255230466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ECA-440E-A370-39C80D3A81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DT'!$B$13:$E$13</c:f>
              <c:numCache>
                <c:formatCode>#\ ##0;\(#\ ##0\)</c:formatCode>
                <c:ptCount val="3"/>
                <c:pt idx="0" formatCode="#,##0">
                  <c:v>1818</c:v>
                </c:pt>
                <c:pt idx="1">
                  <c:v>2060</c:v>
                </c:pt>
                <c:pt idx="2">
                  <c:v>2091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AA-4981-B2E2-D7131F40F1B3}"/>
            </c:ext>
          </c:extLst>
        </c:ser>
        <c:ser>
          <c:idx val="2"/>
          <c:order val="2"/>
          <c:tx>
            <c:strRef>
              <c:f>'[Basic 2020-2022.xlsx]Rezultat CR și DT'!$A$14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DT'!$B$14:$E$14</c:f>
              <c:numCache>
                <c:formatCode>#\ ##0;\(#\ ##0\)</c:formatCode>
                <c:ptCount val="3"/>
                <c:pt idx="0" formatCode="#,##0">
                  <c:v>265</c:v>
                </c:pt>
                <c:pt idx="1">
                  <c:v>335</c:v>
                </c:pt>
                <c:pt idx="2">
                  <c:v>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AA-4981-B2E2-D7131F40F1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-1590634000"/>
        <c:axId val="-1590633456"/>
      </c:barChart>
      <c:lineChart>
        <c:grouping val="standard"/>
        <c:varyColors val="0"/>
        <c:ser>
          <c:idx val="5"/>
          <c:order val="3"/>
          <c:tx>
            <c:strRef>
              <c:f>'[Basic 2020-2022.xlsx]Rezultat CR și DT'!$A$16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517915309446254E-2"/>
                  <c:y val="-4.7384632476495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FAA-4981-B2E2-D7131F40F1B3}"/>
                </c:ext>
              </c:extLst>
            </c:dLbl>
            <c:dLbl>
              <c:idx val="1"/>
              <c:layout>
                <c:manualLayout>
                  <c:x val="1.2899022801302932E-2"/>
                  <c:y val="-3.79188712522045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FAA-4981-B2E2-D7131F40F1B3}"/>
                </c:ext>
              </c:extLst>
            </c:dLbl>
            <c:dLbl>
              <c:idx val="2"/>
              <c:layout>
                <c:manualLayout>
                  <c:x val="2.7999862462607022E-2"/>
                  <c:y val="2.3957304531407875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FAA-4981-B2E2-D7131F40F1B3}"/>
                </c:ext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AA-4981-B2E2-D7131F40F1B3}"/>
                </c:ext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AA-4981-B2E2-D7131F40F1B3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DT'!$B$16:$E$16</c:f>
              <c:numCache>
                <c:formatCode>###0</c:formatCode>
                <c:ptCount val="3"/>
                <c:pt idx="0">
                  <c:v>53.204070407040703</c:v>
                </c:pt>
                <c:pt idx="1">
                  <c:v>59.356796116504853</c:v>
                </c:pt>
                <c:pt idx="2">
                  <c:v>100.54519368723099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8-8FAA-4981-B2E2-D7131F40F1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90632912"/>
        <c:axId val="-1590639440"/>
      </c:lineChart>
      <c:catAx>
        <c:axId val="-15906340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5906334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59063345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/>
                  <a:t>Number of cases</a:t>
                </a:r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590634000"/>
        <c:crosses val="autoZero"/>
        <c:crossBetween val="between"/>
      </c:valAx>
      <c:catAx>
        <c:axId val="-1590632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590639440"/>
        <c:crosses val="autoZero"/>
        <c:auto val="0"/>
        <c:lblAlgn val="ctr"/>
        <c:lblOffset val="100"/>
        <c:noMultiLvlLbl val="0"/>
      </c:catAx>
      <c:valAx>
        <c:axId val="-1590639440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/>
                  <a:t>Disposition Time in days</a:t>
                </a:r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59063291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4362861161833695E-2"/>
          <c:y val="0.90740990709494651"/>
          <c:w val="0.9666258608372240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lvl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en-GB" sz="1100" b="1" i="0" u="none" strike="noStrike" baseline="0">
                <a:effectLst/>
              </a:rPr>
              <a:t>  </a:t>
            </a:r>
            <a:endParaRPr lang="en-GB" sz="1100"/>
          </a:p>
        </c:rich>
      </c:tx>
      <c:layout>
        <c:manualLayout>
          <c:xMode val="edge"/>
          <c:yMode val="edge"/>
          <c:x val="0.11017079541629504"/>
          <c:y val="1.508509163569334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15897475704816968"/>
          <c:w val="0.74624128642035359"/>
          <c:h val="0.66410422702380567"/>
        </c:manualLayout>
      </c:layout>
      <c:lineChart>
        <c:grouping val="standard"/>
        <c:varyColors val="0"/>
        <c:ser>
          <c:idx val="0"/>
          <c:order val="0"/>
          <c:tx>
            <c:strRef>
              <c:f>'[Basic 2020-2022.xlsx]Rezultat CR și DT'!$A$15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1311253815778151E-3"/>
                  <c:y val="4.802640667146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9C6-4AE5-B1CC-459404DED772}"/>
                </c:ext>
              </c:extLst>
            </c:dLbl>
            <c:dLbl>
              <c:idx val="1"/>
              <c:layout>
                <c:manualLayout>
                  <c:x val="-3.0132890881629723E-2"/>
                  <c:y val="4.3409601500643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9C6-4AE5-B1CC-459404DED772}"/>
                </c:ext>
              </c:extLst>
            </c:dLbl>
            <c:dLbl>
              <c:idx val="2"/>
              <c:layout>
                <c:manualLayout>
                  <c:x val="-4.6749361958584756E-2"/>
                  <c:y val="3.879279632982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9C6-4AE5-B1CC-459404DED772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DT'!$B$15:$E$15</c:f>
              <c:numCache>
                <c:formatCode>0%</c:formatCode>
                <c:ptCount val="3"/>
                <c:pt idx="0">
                  <c:v>0.96960000000000002</c:v>
                </c:pt>
                <c:pt idx="1">
                  <c:v>0.96713615023474175</c:v>
                </c:pt>
                <c:pt idx="2">
                  <c:v>0.89665523156089189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43A-40E2-A24C-4B2D94924BF3}"/>
            </c:ext>
          </c:extLst>
        </c:ser>
        <c:ser>
          <c:idx val="5"/>
          <c:order val="1"/>
          <c:tx>
            <c:strRef>
              <c:f>'[Basic 2020-2022.xlsx]Rezultat CR și DT'!$A$17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6756042892083707E-3"/>
                  <c:y val="-4.4309696744970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C6-4AE5-B1CC-459404DED772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'[Basic 2020-2022.xlsx]Rezultat CR și DT'!$B$11:$E$11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CR și DT'!$B$17:$E$17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3A-40E2-A24C-4B2D94924BF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317721504"/>
        <c:axId val="-1317711168"/>
      </c:lineChart>
      <c:catAx>
        <c:axId val="-13177215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317711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31771116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-1317721504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6.3910169123596386E-2"/>
          <c:y val="0.91196823473988831"/>
          <c:w val="0.87884765631140604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1100" b="1">
                <a:effectLst/>
              </a:rPr>
              <a:t>                                          DURATA DOSARELOR</a:t>
            </a:r>
            <a:r>
              <a:rPr lang="en-US" sz="1100" b="1" baseline="0">
                <a:effectLst/>
              </a:rPr>
              <a:t> PE ROL 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17132832080200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1CD1-4A66-B1B0-7D69672D58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0.75619999999999998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62-44CA-B0A6-AE6AF71E73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0.00%</c:formatCode>
                <c:ptCount val="1"/>
                <c:pt idx="0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62-44CA-B0A6-AE6AF71E73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0.00%</c:formatCode>
                <c:ptCount val="1"/>
                <c:pt idx="0">
                  <c:v>0.71819999999999995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62-44CA-B0A6-AE6AF71E73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-1317717696"/>
        <c:axId val="-1317717152"/>
      </c:barChart>
      <c:catAx>
        <c:axId val="-13177176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17717152"/>
        <c:crosses val="autoZero"/>
        <c:auto val="1"/>
        <c:lblAlgn val="ctr"/>
        <c:lblOffset val="100"/>
        <c:noMultiLvlLbl val="0"/>
      </c:catAx>
      <c:valAx>
        <c:axId val="-131771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177176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39862204724408"/>
          <c:y val="0.90525746781652294"/>
          <c:w val="0.8640173884514436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95652173913044"/>
          <c:y val="8.7457462054769508E-2"/>
          <c:w val="0.69217391304347831"/>
          <c:h val="0.7090048564730532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'Rezultat RA'!$A$36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2.2075055187638173E-3"/>
                  <c:y val="0.1550245081110223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E1-453E-99B0-8E81DEF4C7B3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RA'!$B$36:$E$36</c:f>
              <c:numCache>
                <c:formatCode>#,##0</c:formatCode>
                <c:ptCount val="3"/>
                <c:pt idx="0">
                  <c:v>1818</c:v>
                </c:pt>
                <c:pt idx="1">
                  <c:v>2060</c:v>
                </c:pt>
                <c:pt idx="2">
                  <c:v>2091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2-4F27-9401-59D7E39FA691}"/>
            </c:ext>
          </c:extLst>
        </c:ser>
        <c:ser>
          <c:idx val="0"/>
          <c:order val="1"/>
          <c:tx>
            <c:strRef>
              <c:f>'Rezultat RA'!$A$38</c:f>
              <c:strCache>
                <c:ptCount val="1"/>
                <c:pt idx="0">
                  <c:v>Deciziile modificate sau anulate de instanța de recurs CSJ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RA'!$B$38:$E$38</c:f>
              <c:numCache>
                <c:formatCode>#,##0</c:formatCode>
                <c:ptCount val="3"/>
                <c:pt idx="0">
                  <c:v>83</c:v>
                </c:pt>
                <c:pt idx="1">
                  <c:v>68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72-4F27-9401-59D7E39FA691}"/>
            </c:ext>
          </c:extLst>
        </c:ser>
        <c:ser>
          <c:idx val="4"/>
          <c:order val="4"/>
          <c:tx>
            <c:strRef>
              <c:f>'Rezultat RA'!$A$37</c:f>
              <c:strCache>
                <c:ptCount val="1"/>
                <c:pt idx="0">
                  <c:v>Deciziile contestate cu recurs la CSJ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RA'!$B$37:$E$37</c:f>
              <c:numCache>
                <c:formatCode>#,##0</c:formatCode>
                <c:ptCount val="3"/>
                <c:pt idx="0">
                  <c:v>311</c:v>
                </c:pt>
                <c:pt idx="1">
                  <c:v>303</c:v>
                </c:pt>
                <c:pt idx="2">
                  <c:v>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72-4F27-9401-59D7E39FA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17707904"/>
        <c:axId val="-1317708448"/>
      </c:barChart>
      <c:lineChart>
        <c:grouping val="standard"/>
        <c:varyColors val="0"/>
        <c:ser>
          <c:idx val="2"/>
          <c:order val="2"/>
          <c:tx>
            <c:strRef>
              <c:f>'Rezultat RA'!$A$40</c:f>
              <c:strCache>
                <c:ptCount val="1"/>
                <c:pt idx="0">
                  <c:v>Rata deciziilor modificate sau anulate de instanța de recurs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633467174219118E-2"/>
                  <c:y val="-3.0257126968157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72-4F27-9401-59D7E39FA691}"/>
                </c:ext>
              </c:extLst>
            </c:dLbl>
            <c:dLbl>
              <c:idx val="1"/>
              <c:layout>
                <c:manualLayout>
                  <c:x val="-4.7580956353965691E-2"/>
                  <c:y val="-4.8719086384505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72-4F27-9401-59D7E39FA691}"/>
                </c:ext>
              </c:extLst>
            </c:dLbl>
            <c:dLbl>
              <c:idx val="2"/>
              <c:layout>
                <c:manualLayout>
                  <c:x val="-1.7352383932140933E-3"/>
                  <c:y val="-4.835107598524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72-4F27-9401-59D7E39FA691}"/>
                </c:ext>
              </c:extLst>
            </c:dLbl>
            <c:dLbl>
              <c:idx val="3"/>
              <c:layout>
                <c:manualLayout>
                  <c:x val="-1.4956521739130434E-2"/>
                  <c:y val="-2.7760258147282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72-4F27-9401-59D7E39FA691}"/>
                </c:ext>
              </c:extLst>
            </c:dLbl>
            <c:dLbl>
              <c:idx val="4"/>
              <c:layout>
                <c:manualLayout>
                  <c:x val="-7.8840579710144926E-3"/>
                  <c:y val="-1.7361844732002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72-4F27-9401-59D7E39FA691}"/>
                </c:ext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RA'!$B$35:$D$35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RA'!$B$40:$E$40</c:f>
              <c:numCache>
                <c:formatCode>0.0%</c:formatCode>
                <c:ptCount val="3"/>
                <c:pt idx="0">
                  <c:v>4.5654565456545657E-2</c:v>
                </c:pt>
                <c:pt idx="1">
                  <c:v>3.3009708737864081E-2</c:v>
                </c:pt>
                <c:pt idx="2">
                  <c:v>3.5868005738880916E-2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8-7F72-4F27-9401-59D7E39FA691}"/>
            </c:ext>
          </c:extLst>
        </c:ser>
        <c:ser>
          <c:idx val="3"/>
          <c:order val="3"/>
          <c:tx>
            <c:strRef>
              <c:f>'Rezultat RA'!$A$39</c:f>
              <c:strCache>
                <c:ptCount val="1"/>
                <c:pt idx="0">
                  <c:v>Rata deciziilor contestate cu recurs la CSJ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diamond"/>
            <c:size val="2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-8.4015748031496043E-2"/>
                  <c:y val="-4.3034216063653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72-4F27-9401-59D7E39FA691}"/>
                </c:ext>
              </c:extLst>
            </c:dLbl>
            <c:dLbl>
              <c:idx val="1"/>
              <c:layout>
                <c:manualLayout>
                  <c:x val="-3.2095739688168118E-3"/>
                  <c:y val="9.7752216070800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72-4F27-9401-59D7E39FA691}"/>
                </c:ext>
              </c:extLst>
            </c:dLbl>
            <c:dLbl>
              <c:idx val="2"/>
              <c:layout>
                <c:manualLayout>
                  <c:x val="1.0369366080895517E-2"/>
                  <c:y val="3.4636752961148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72-4F27-9401-59D7E39FA691}"/>
                </c:ext>
              </c:extLst>
            </c:dLbl>
            <c:dLbl>
              <c:idx val="3"/>
              <c:layout>
                <c:manualLayout>
                  <c:x val="-3.7101449275362318E-2"/>
                  <c:y val="-4.0818503585175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F72-4F27-9401-59D7E39FA691}"/>
                </c:ext>
              </c:extLst>
            </c:dLbl>
            <c:dLbl>
              <c:idx val="4"/>
              <c:layout>
                <c:manualLayout>
                  <c:x val="-6.95652173913052E-3"/>
                  <c:y val="6.6500415627597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F72-4F27-9401-59D7E39FA691}"/>
                </c:ext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'Rezultat RA'!$B$39:$E$39</c:f>
              <c:numCache>
                <c:formatCode>0.0%</c:formatCode>
                <c:ptCount val="3"/>
                <c:pt idx="0">
                  <c:v>0.17106710671067107</c:v>
                </c:pt>
                <c:pt idx="1">
                  <c:v>0.1470873786407767</c:v>
                </c:pt>
                <c:pt idx="2">
                  <c:v>0.11764705882352941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E-7F72-4F27-9401-59D7E39FA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17722048"/>
        <c:axId val="-1317716608"/>
      </c:lineChart>
      <c:catAx>
        <c:axId val="-13177079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084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31770844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/>
                  <a:t>Num</a:t>
                </a:r>
                <a:r>
                  <a:rPr lang="ro-RO"/>
                  <a:t>ă</a:t>
                </a:r>
                <a:r>
                  <a:rPr lang="en-GB"/>
                  <a:t>rul de cauze</a:t>
                </a:r>
              </a:p>
            </c:rich>
          </c:tx>
          <c:layout>
            <c:manualLayout>
              <c:xMode val="edge"/>
              <c:yMode val="edge"/>
              <c:x val="1.9449256268956088E-2"/>
              <c:y val="0.3060332746951310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07904"/>
        <c:crosses val="autoZero"/>
        <c:crossBetween val="between"/>
      </c:valAx>
      <c:catAx>
        <c:axId val="-1317722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17716608"/>
        <c:crosses val="autoZero"/>
        <c:auto val="0"/>
        <c:lblAlgn val="ctr"/>
        <c:lblOffset val="100"/>
        <c:noMultiLvlLbl val="0"/>
      </c:catAx>
      <c:valAx>
        <c:axId val="-131771660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Rata</a:t>
                </a:r>
                <a:r>
                  <a:rPr lang="ro-RO" baseline="0"/>
                  <a:t> apelurilor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1183574100713405"/>
              <c:y val="0.33515720504487312"/>
            </c:manualLayout>
          </c:layout>
          <c:overlay val="0"/>
          <c:spPr>
            <a:noFill/>
            <a:ln w="25400">
              <a:noFill/>
            </a:ln>
          </c:spPr>
        </c:title>
        <c:numFmt formatCode="0.0%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2204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"/>
          <c:y val="0.87418173725790516"/>
          <c:w val="0.9980059939316096"/>
          <c:h val="0.12249324196071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299-4274-A5BC-C11BB63DE14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299-4274-A5BC-C11BB63DE14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299-4274-A5BC-C11BB63DE14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299-4274-A5BC-C11BB63DE14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299-4274-A5BC-C11BB63DE14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299-4274-A5BC-C11BB63DE14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299-4274-A5BC-C11BB63DE140}"/>
              </c:ext>
            </c:extLst>
          </c:dPt>
          <c:dLbls>
            <c:dLbl>
              <c:idx val="0"/>
              <c:layout>
                <c:manualLayout>
                  <c:x val="-6.3084849122069181E-3"/>
                  <c:y val="1.239588180631232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21%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299-4274-A5BC-C11BB63DE140}"/>
                </c:ext>
              </c:extLst>
            </c:dLbl>
            <c:dLbl>
              <c:idx val="1"/>
              <c:layout>
                <c:manualLayout>
                  <c:x val="0"/>
                  <c:y val="1.75047276625898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299-4274-A5BC-C11BB63DE140}"/>
                </c:ext>
              </c:extLst>
            </c:dLbl>
            <c:dLbl>
              <c:idx val="2"/>
              <c:layout>
                <c:manualLayout>
                  <c:x val="3.855140689212236E-17"/>
                  <c:y val="9.5498077110756814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299-4274-A5BC-C11BB63DE140}"/>
                </c:ext>
              </c:extLst>
            </c:dLbl>
            <c:dLbl>
              <c:idx val="3"/>
              <c:layout>
                <c:manualLayout>
                  <c:x val="-7.710281378424472E-17"/>
                  <c:y val="2.207807821399727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299-4274-A5BC-C11BB63DE140}"/>
                </c:ext>
              </c:extLst>
            </c:dLbl>
            <c:dLbl>
              <c:idx val="4"/>
              <c:layout>
                <c:manualLayout>
                  <c:x val="-1.6822626432551783E-2"/>
                  <c:y val="4.83218742618552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299-4274-A5BC-C11BB63DE140}"/>
                </c:ext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11%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D299-4274-A5BC-C11BB63DE14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299-4274-A5BC-C11BB63DE1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</c:v>
                </c:pt>
                <c:pt idx="1">
                  <c:v>0.05</c:v>
                </c:pt>
                <c:pt idx="2">
                  <c:v>0.02</c:v>
                </c:pt>
                <c:pt idx="3">
                  <c:v>0.1</c:v>
                </c:pt>
                <c:pt idx="4">
                  <c:v>0.54</c:v>
                </c:pt>
                <c:pt idx="5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299-4274-A5BC-C11BB63DE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95605632060418"/>
          <c:y val="4.2229879766470121E-2"/>
          <c:w val="0.70638798429804595"/>
          <c:h val="0.6527795697007615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'Rezultat RA'!$A$81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RA'!$B$81:$E$81</c:f>
              <c:numCache>
                <c:formatCode>#,##0</c:formatCode>
                <c:ptCount val="3"/>
                <c:pt idx="0">
                  <c:v>1090</c:v>
                </c:pt>
                <c:pt idx="1">
                  <c:v>1184</c:v>
                </c:pt>
                <c:pt idx="2">
                  <c:v>1195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6-467E-BE91-CC2E24E9DFC5}"/>
            </c:ext>
          </c:extLst>
        </c:ser>
        <c:ser>
          <c:idx val="0"/>
          <c:order val="1"/>
          <c:tx>
            <c:strRef>
              <c:f>'Rezultat RA'!$A$83</c:f>
              <c:strCache>
                <c:ptCount val="1"/>
                <c:pt idx="0">
                  <c:v>Deciziile modificate sau anulate de instanța de recurs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RA'!$B$83:$E$83</c:f>
              <c:numCache>
                <c:formatCode>#,##0</c:formatCode>
                <c:ptCount val="3"/>
                <c:pt idx="0">
                  <c:v>57</c:v>
                </c:pt>
                <c:pt idx="1">
                  <c:v>49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96-467E-BE91-CC2E24E9DFC5}"/>
            </c:ext>
          </c:extLst>
        </c:ser>
        <c:ser>
          <c:idx val="3"/>
          <c:order val="3"/>
          <c:tx>
            <c:strRef>
              <c:f>'Rezultat RA'!$A$82</c:f>
              <c:strCache>
                <c:ptCount val="1"/>
                <c:pt idx="0">
                  <c:v>Deciziile contestate cu recurs la CSJ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'Rezultat RA'!$B$82:$E$82</c:f>
              <c:numCache>
                <c:formatCode>#,##0</c:formatCode>
                <c:ptCount val="3"/>
                <c:pt idx="0">
                  <c:v>193</c:v>
                </c:pt>
                <c:pt idx="1">
                  <c:v>148</c:v>
                </c:pt>
                <c:pt idx="2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96-467E-BE91-CC2E24E9D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17711712"/>
        <c:axId val="-1317720416"/>
      </c:barChart>
      <c:lineChart>
        <c:grouping val="standard"/>
        <c:varyColors val="0"/>
        <c:ser>
          <c:idx val="2"/>
          <c:order val="2"/>
          <c:tx>
            <c:strRef>
              <c:f>'Rezultat RA'!$A$85</c:f>
              <c:strCache>
                <c:ptCount val="1"/>
                <c:pt idx="0">
                  <c:v>Rata deciziilor modificate sau anulate de instanța de recurs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noFill/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8908136482939636E-2"/>
                  <c:y val="-9.56433013110524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96-467E-BE91-CC2E24E9DFC5}"/>
                </c:ext>
              </c:extLst>
            </c:dLbl>
            <c:dLbl>
              <c:idx val="1"/>
              <c:layout>
                <c:manualLayout>
                  <c:x val="-1.0861978459589102E-2"/>
                  <c:y val="-4.8518311739149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96-467E-BE91-CC2E24E9DFC5}"/>
                </c:ext>
              </c:extLst>
            </c:dLbl>
            <c:dLbl>
              <c:idx val="2"/>
              <c:layout>
                <c:manualLayout>
                  <c:x val="-1.6379400850755725E-2"/>
                  <c:y val="-3.9610342105769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96-467E-BE91-CC2E24E9DFC5}"/>
                </c:ext>
              </c:extLst>
            </c:dLbl>
            <c:dLbl>
              <c:idx val="3"/>
              <c:layout>
                <c:manualLayout>
                  <c:x val="-1.2701239931215495E-2"/>
                  <c:y val="-6.4818230239557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96-467E-BE91-CC2E24E9DFC5}"/>
                </c:ext>
              </c:extLst>
            </c:dLbl>
            <c:dLbl>
              <c:idx val="4"/>
              <c:layout>
                <c:manualLayout>
                  <c:x val="6.4941623676350799E-3"/>
                  <c:y val="-6.2015503875968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96-467E-BE91-CC2E24E9DFC5}"/>
                </c:ext>
              </c:extLst>
            </c:dLbl>
            <c:dLbl>
              <c:idx val="5"/>
              <c:layout>
                <c:manualLayout>
                  <c:x val="-1.3551814643859173E-2"/>
                  <c:y val="4.249529933452694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96-467E-BE91-CC2E24E9DFC5}"/>
                </c:ext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RA'!$B$35:$D$35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RA'!$B$85:$E$85</c:f>
              <c:numCache>
                <c:formatCode>0.0%</c:formatCode>
                <c:ptCount val="3"/>
                <c:pt idx="0">
                  <c:v>5.2293577981651379E-2</c:v>
                </c:pt>
                <c:pt idx="1">
                  <c:v>4.1385135135135136E-2</c:v>
                </c:pt>
                <c:pt idx="2">
                  <c:v>4.6025104602510462E-2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9-9D96-467E-BE91-CC2E24E9DFC5}"/>
            </c:ext>
          </c:extLst>
        </c:ser>
        <c:ser>
          <c:idx val="4"/>
          <c:order val="4"/>
          <c:tx>
            <c:strRef>
              <c:f>'Rezultat RA'!$A$84</c:f>
              <c:strCache>
                <c:ptCount val="1"/>
                <c:pt idx="0">
                  <c:v>Rata deciziilor contestate cu recurs la CSJ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diamond"/>
            <c:size val="2"/>
            <c:spPr>
              <a:solidFill>
                <a:srgbClr val="FFC000"/>
              </a:solidFill>
            </c:spPr>
          </c:marker>
          <c:dLbls>
            <c:dLbl>
              <c:idx val="3"/>
              <c:layout>
                <c:manualLayout>
                  <c:x val="-2.0689655172413793E-2"/>
                  <c:y val="-4.2379788101059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96-467E-BE91-CC2E24E9DFC5}"/>
                </c:ext>
              </c:extLst>
            </c:dLbl>
            <c:dLbl>
              <c:idx val="4"/>
              <c:layout>
                <c:manualLayout>
                  <c:x val="-3.2184089057833286E-2"/>
                  <c:y val="-9.7799511002444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96-467E-BE91-CC2E24E9DFC5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'Rezultat RA'!$B$84:$E$84</c:f>
              <c:numCache>
                <c:formatCode>0.0%</c:formatCode>
                <c:ptCount val="3"/>
                <c:pt idx="0">
                  <c:v>0.17706422018348625</c:v>
                </c:pt>
                <c:pt idx="1">
                  <c:v>0.125</c:v>
                </c:pt>
                <c:pt idx="2">
                  <c:v>0.10209205020920502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C-9D96-467E-BE91-CC2E24E9D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17715520"/>
        <c:axId val="-1317719328"/>
      </c:lineChart>
      <c:catAx>
        <c:axId val="-1317711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204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317720416"/>
        <c:scaling>
          <c:orientation val="minMax"/>
          <c:max val="3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baseline="0">
                    <a:effectLst/>
                  </a:rPr>
                  <a:t>Num</a:t>
                </a:r>
                <a:r>
                  <a:rPr lang="ro-RO" sz="800" b="0" i="0" baseline="0">
                    <a:effectLst/>
                  </a:rPr>
                  <a:t>ă</a:t>
                </a:r>
                <a:r>
                  <a:rPr lang="en-GB" sz="800" b="0" i="0" baseline="0">
                    <a:effectLst/>
                  </a:rPr>
                  <a:t>rul de cauze</a:t>
                </a:r>
                <a:endParaRPr lang="en-GB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1.6907807659013716E-2"/>
              <c:y val="0.34170147883898089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11712"/>
        <c:crosses val="autoZero"/>
        <c:crossBetween val="between"/>
      </c:valAx>
      <c:catAx>
        <c:axId val="-13177155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17719328"/>
        <c:crosses val="autoZero"/>
        <c:auto val="0"/>
        <c:lblAlgn val="ctr"/>
        <c:lblOffset val="100"/>
        <c:noMultiLvlLbl val="0"/>
      </c:catAx>
      <c:valAx>
        <c:axId val="-1317719328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 sz="800" b="0" i="0" baseline="0">
                    <a:effectLst/>
                  </a:rPr>
                  <a:t>Rata apelurilor</a:t>
                </a:r>
                <a:endParaRPr lang="en-GB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0.9008488452007205"/>
              <c:y val="0.36446161218679624"/>
            </c:manualLayout>
          </c:layout>
          <c:overlay val="0"/>
          <c:spPr>
            <a:noFill/>
            <a:ln w="25400">
              <a:noFill/>
            </a:ln>
          </c:spPr>
        </c:title>
        <c:numFmt formatCode="0.0%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1552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"/>
          <c:y val="0.77543138519788768"/>
          <c:w val="1"/>
          <c:h val="0.1752646987143420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73632598254053"/>
          <c:y val="7.4112047732327241E-2"/>
          <c:w val="0.69270950776758455"/>
          <c:h val="0.6801572990948053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'Rezultat RA'!$A$45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rgbClr val="92D05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RA'!$B$45:$E$45</c:f>
              <c:numCache>
                <c:formatCode>#,##0</c:formatCode>
                <c:ptCount val="3"/>
                <c:pt idx="0">
                  <c:v>361</c:v>
                </c:pt>
                <c:pt idx="1">
                  <c:v>453</c:v>
                </c:pt>
                <c:pt idx="2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5-4044-96D7-E8BD8CA269C7}"/>
            </c:ext>
          </c:extLst>
        </c:ser>
        <c:ser>
          <c:idx val="0"/>
          <c:order val="1"/>
          <c:tx>
            <c:strRef>
              <c:f>'Rezultat RA'!$A$47</c:f>
              <c:strCache>
                <c:ptCount val="1"/>
                <c:pt idx="0">
                  <c:v>Deciziile modificate sau anulate de instanța de recurs</c:v>
                </c:pt>
              </c:strCache>
            </c:strRef>
          </c:tx>
          <c:spPr>
            <a:solidFill>
              <a:srgbClr val="FF000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4.0944995081069325E-17"/>
                  <c:y val="-1.265822784810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68-4A18-BBFB-AE5BCAD6F089}"/>
                </c:ext>
              </c:extLst>
            </c:dLbl>
            <c:dLbl>
              <c:idx val="1"/>
              <c:layout>
                <c:manualLayout>
                  <c:x val="1.016053647632595E-2"/>
                  <c:y val="-4.60299194476409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1D-4079-B184-4BCC7E2E5865}"/>
                </c:ext>
              </c:extLst>
            </c:dLbl>
            <c:dLbl>
              <c:idx val="2"/>
              <c:layout>
                <c:manualLayout>
                  <c:x val="0"/>
                  <c:y val="2.5316455696202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68-4A18-BBFB-AE5BCAD6F08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'Rezultat RA'!$B$35:$E$35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RA'!$B$47:$E$47</c:f>
              <c:numCache>
                <c:formatCode>#,##0</c:formatCode>
                <c:ptCount val="3"/>
                <c:pt idx="0">
                  <c:v>7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5-4044-96D7-E8BD8CA269C7}"/>
            </c:ext>
          </c:extLst>
        </c:ser>
        <c:ser>
          <c:idx val="4"/>
          <c:order val="4"/>
          <c:tx>
            <c:strRef>
              <c:f>'Rezultat RA'!$A$46</c:f>
              <c:strCache>
                <c:ptCount val="1"/>
                <c:pt idx="0">
                  <c:v>Deciziile contestate cu recurs la CSJ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'Rezultat RA'!$B$46:$E$46</c:f>
              <c:numCache>
                <c:formatCode>#,##0</c:formatCode>
                <c:ptCount val="3"/>
                <c:pt idx="0">
                  <c:v>55</c:v>
                </c:pt>
                <c:pt idx="1">
                  <c:v>99</c:v>
                </c:pt>
                <c:pt idx="2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85-4044-96D7-E8BD8CA26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17718784"/>
        <c:axId val="-1317713344"/>
      </c:barChart>
      <c:lineChart>
        <c:grouping val="standard"/>
        <c:varyColors val="0"/>
        <c:ser>
          <c:idx val="2"/>
          <c:order val="2"/>
          <c:tx>
            <c:strRef>
              <c:f>'Rezultat RA'!$A$49</c:f>
              <c:strCache>
                <c:ptCount val="1"/>
                <c:pt idx="0">
                  <c:v>Rata deciziilor modificate sau anulate de instanța de recurs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noFill/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8460739282589675E-2"/>
                  <c:y val="-2.384899085890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85-4044-96D7-E8BD8CA269C7}"/>
                </c:ext>
              </c:extLst>
            </c:dLbl>
            <c:dLbl>
              <c:idx val="1"/>
              <c:layout>
                <c:manualLayout>
                  <c:x val="-5.1679717810988832E-2"/>
                  <c:y val="-5.3004273943687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85-4044-96D7-E8BD8CA269C7}"/>
                </c:ext>
              </c:extLst>
            </c:dLbl>
            <c:dLbl>
              <c:idx val="2"/>
              <c:layout>
                <c:manualLayout>
                  <c:x val="-5.1287808929712374E-2"/>
                  <c:y val="-4.6732395768866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85-4044-96D7-E8BD8CA269C7}"/>
                </c:ext>
              </c:extLst>
            </c:dLbl>
            <c:dLbl>
              <c:idx val="3"/>
              <c:layout>
                <c:manualLayout>
                  <c:x val="-3.9366653322884949E-2"/>
                  <c:y val="-4.0437883605684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85-4044-96D7-E8BD8CA269C7}"/>
                </c:ext>
              </c:extLst>
            </c:dLbl>
            <c:dLbl>
              <c:idx val="4"/>
              <c:layout>
                <c:manualLayout>
                  <c:x val="-4.9452506033478338E-2"/>
                  <c:y val="-4.531938820976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85-4044-96D7-E8BD8CA269C7}"/>
                </c:ext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'Rezultat RA'!$B$35:$D$35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'Rezultat RA'!$B$49:$E$49</c:f>
              <c:numCache>
                <c:formatCode>0.0%</c:formatCode>
                <c:ptCount val="3"/>
                <c:pt idx="0">
                  <c:v>1.9390581717451522E-2</c:v>
                </c:pt>
                <c:pt idx="1">
                  <c:v>1.3245033112582781E-2</c:v>
                </c:pt>
                <c:pt idx="2">
                  <c:v>2.2388059701492536E-2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8-5485-4044-96D7-E8BD8CA269C7}"/>
            </c:ext>
          </c:extLst>
        </c:ser>
        <c:ser>
          <c:idx val="3"/>
          <c:order val="3"/>
          <c:tx>
            <c:strRef>
              <c:f>'Rezultat RA'!$A$48</c:f>
              <c:strCache>
                <c:ptCount val="1"/>
                <c:pt idx="0">
                  <c:v>Rata deciziilor contestate cu recurs la CSJ</c:v>
                </c:pt>
              </c:strCache>
            </c:strRef>
          </c:tx>
          <c:spPr>
            <a:ln w="38100">
              <a:solidFill>
                <a:srgbClr val="FFC000"/>
              </a:solidFill>
            </a:ln>
          </c:spPr>
          <c:marker>
            <c:symbol val="diamond"/>
            <c:size val="2"/>
            <c:spPr>
              <a:solidFill>
                <a:srgbClr val="FFC000"/>
              </a:solidFill>
              <a:ln cap="rnd"/>
            </c:spPr>
          </c:marke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'Rezultat RA'!$B$48:$E$48</c:f>
              <c:numCache>
                <c:formatCode>0.0%</c:formatCode>
                <c:ptCount val="3"/>
                <c:pt idx="0">
                  <c:v>0.1523545706371191</c:v>
                </c:pt>
                <c:pt idx="1">
                  <c:v>0.2185430463576159</c:v>
                </c:pt>
                <c:pt idx="2">
                  <c:v>0.22388059701492538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9-5485-4044-96D7-E8BD8CA26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17712800"/>
        <c:axId val="-1317712256"/>
      </c:lineChart>
      <c:catAx>
        <c:axId val="-1317718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13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31771334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baseline="0">
                    <a:effectLst/>
                  </a:rPr>
                  <a:t>Num</a:t>
                </a:r>
                <a:r>
                  <a:rPr lang="ro-RO" sz="800" b="0" i="0" baseline="0">
                    <a:effectLst/>
                  </a:rPr>
                  <a:t>ă</a:t>
                </a:r>
                <a:r>
                  <a:rPr lang="en-GB" sz="800" b="0" i="0" baseline="0">
                    <a:effectLst/>
                  </a:rPr>
                  <a:t>rul de cauze</a:t>
                </a:r>
                <a:endParaRPr lang="en-GB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1.676017971899859E-2"/>
              <c:y val="0.34417404373015886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18784"/>
        <c:crosses val="autoZero"/>
        <c:crossBetween val="between"/>
      </c:valAx>
      <c:catAx>
        <c:axId val="-1317712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317712256"/>
        <c:crosses val="autoZero"/>
        <c:auto val="0"/>
        <c:lblAlgn val="ctr"/>
        <c:lblOffset val="100"/>
        <c:noMultiLvlLbl val="0"/>
      </c:catAx>
      <c:valAx>
        <c:axId val="-131771225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 sz="800" b="0" i="0" baseline="0">
                    <a:effectLst/>
                  </a:rPr>
                  <a:t>Rata apelurilor</a:t>
                </a:r>
                <a:endParaRPr lang="en-GB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0.90918968773540798"/>
              <c:y val="0.40527255525441575"/>
            </c:manualLayout>
          </c:layout>
          <c:overlay val="0"/>
          <c:spPr>
            <a:noFill/>
            <a:ln w="25400">
              <a:noFill/>
            </a:ln>
          </c:spPr>
        </c:title>
        <c:numFmt formatCode="0.0%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1280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2085950138167298E-3"/>
          <c:y val="0.86663682574775969"/>
          <c:w val="0.99255806592015206"/>
          <c:h val="0.1295272268181667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12052117263844"/>
          <c:y val="8.284079235307007E-2"/>
          <c:w val="0.749185667752443"/>
          <c:h val="0.7381322049236075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'[Basic 2020-2022.xlsx]Rezultat CPJ, CPC'!$A$23</c:f>
              <c:strCache>
                <c:ptCount val="1"/>
                <c:pt idx="0">
                  <c:v>Cauze noi / Judecător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2"/>
              <c:layout>
                <c:manualLayout>
                  <c:x val="-5.6710775047260362E-3"/>
                  <c:y val="2.8912179255511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B9-46CE-B64D-C75E28451B63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CPC'!$B$23:$E$23</c:f>
              <c:numCache>
                <c:formatCode>#\ ##0;\(#\ ##0\)</c:formatCode>
                <c:ptCount val="3"/>
                <c:pt idx="0">
                  <c:v>207.77777777777777</c:v>
                </c:pt>
                <c:pt idx="1">
                  <c:v>260.58751529987762</c:v>
                </c:pt>
                <c:pt idx="2">
                  <c:v>329.37853107344631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B-439F-AD20-2C3C8A0972EF}"/>
            </c:ext>
          </c:extLst>
        </c:ser>
        <c:ser>
          <c:idx val="0"/>
          <c:order val="1"/>
          <c:tx>
            <c:strRef>
              <c:f>'[Basic 2020-2022.xlsx]Rezultat CPJ, CPC'!$A$24</c:f>
              <c:strCache>
                <c:ptCount val="1"/>
                <c:pt idx="0">
                  <c:v>Cauze soluționate / Judecător 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6931216931216932E-2"/>
                  <c:y val="6.99300699300695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B-439F-AD20-2C3C8A0972EF}"/>
                </c:ext>
              </c:extLst>
            </c:dLbl>
            <c:dLbl>
              <c:idx val="1"/>
              <c:layout>
                <c:manualLayout>
                  <c:x val="1.9872797319781242E-3"/>
                  <c:y val="7.59322584481163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4B-439F-AD20-2C3C8A0972EF}"/>
                </c:ext>
              </c:extLst>
            </c:dLbl>
            <c:dLbl>
              <c:idx val="2"/>
              <c:layout>
                <c:manualLayout>
                  <c:x val="2.328042328042328E-2"/>
                  <c:y val="2.33100233100228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4B-439F-AD20-2C3C8A0972EF}"/>
                </c:ext>
              </c:extLst>
            </c:dLbl>
            <c:dLbl>
              <c:idx val="3"/>
              <c:layout>
                <c:manualLayout>
                  <c:x val="1.6931216931216932E-2"/>
                  <c:y val="4.6620046620046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4B-439F-AD20-2C3C8A0972EF}"/>
                </c:ext>
              </c:extLst>
            </c:dLbl>
            <c:dLbl>
              <c:idx val="4"/>
              <c:layout>
                <c:manualLayout>
                  <c:x val="3.8095238095238099E-2"/>
                  <c:y val="6.99300699300701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4B-439F-AD20-2C3C8A0972EF}"/>
                </c:ext>
              </c:extLst>
            </c:dLbl>
            <c:dLbl>
              <c:idx val="5"/>
              <c:layout>
                <c:manualLayout>
                  <c:x val="3.1746031746031744E-2"/>
                  <c:y val="1.16550116550116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4B-439F-AD20-2C3C8A0972E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CPC'!$B$24:$E$24</c:f>
              <c:numCache>
                <c:formatCode>#\ ##0;\(#\ ##0\)</c:formatCode>
                <c:ptCount val="3"/>
                <c:pt idx="0">
                  <c:v>201.55555555555554</c:v>
                </c:pt>
                <c:pt idx="1">
                  <c:v>252.01958384332926</c:v>
                </c:pt>
                <c:pt idx="2">
                  <c:v>295.33898305084745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E4B-439F-AD20-2C3C8A0972EF}"/>
            </c:ext>
          </c:extLst>
        </c:ser>
        <c:ser>
          <c:idx val="2"/>
          <c:order val="3"/>
          <c:tx>
            <c:strRef>
              <c:f>'[Basic 2020-2022.xlsx]Rezultat CPJ, CPC'!$A$25</c:f>
              <c:strCache>
                <c:ptCount val="1"/>
                <c:pt idx="0">
                  <c:v>Cauze soluționate / angajat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CPC'!$B$25:$E$25</c:f>
              <c:numCache>
                <c:formatCode>#\ ##0;\(#\ ##0\)</c:formatCode>
                <c:ptCount val="3"/>
                <c:pt idx="0">
                  <c:v>65.251798561151091</c:v>
                </c:pt>
                <c:pt idx="1">
                  <c:v>71.742160278745644</c:v>
                </c:pt>
                <c:pt idx="2">
                  <c:v>65.754716981132077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E4B-439F-AD20-2C3C8A097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13"/>
        <c:axId val="-1317709536"/>
        <c:axId val="-1450707184"/>
      </c:barChart>
      <c:lineChart>
        <c:grouping val="standard"/>
        <c:varyColors val="0"/>
        <c:ser>
          <c:idx val="5"/>
          <c:order val="2"/>
          <c:tx>
            <c:strRef>
              <c:f>'[Basic 2020-2022.xlsx]Rezultat CPJ, CPC'!$A$22</c:f>
              <c:strCache>
                <c:ptCount val="1"/>
                <c:pt idx="0">
                  <c:v>Cost / Cauză (MDL)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7.0999458401033208E-2"/>
                  <c:y val="-1.0937930056040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4B-439F-AD20-2C3C8A0972EF}"/>
                </c:ext>
              </c:extLst>
            </c:dLbl>
            <c:dLbl>
              <c:idx val="1"/>
              <c:layout>
                <c:manualLayout>
                  <c:x val="-3.7065409437506802E-2"/>
                  <c:y val="-2.280267349833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4B-439F-AD20-2C3C8A0972EF}"/>
                </c:ext>
              </c:extLst>
            </c:dLbl>
            <c:dLbl>
              <c:idx val="2"/>
              <c:layout>
                <c:manualLayout>
                  <c:x val="-3.1257754291693744E-2"/>
                  <c:y val="-1.9075255638465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B9-46CE-B64D-C75E28451B63}"/>
                </c:ext>
              </c:extLst>
            </c:dLbl>
            <c:dLbl>
              <c:idx val="3"/>
              <c:layout>
                <c:manualLayout>
                  <c:x val="-3.339199266758322E-2"/>
                  <c:y val="2.6299874677827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E4B-439F-AD20-2C3C8A0972EF}"/>
                </c:ext>
              </c:extLst>
            </c:dLbl>
            <c:dLbl>
              <c:idx val="4"/>
              <c:layout>
                <c:manualLayout>
                  <c:x val="-3.3069699620880723E-2"/>
                  <c:y val="2.22524887091816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E4B-439F-AD20-2C3C8A0972EF}"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FF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CPC'!$B$8:$D$8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CPC'!$B$22:$E$22</c:f>
              <c:numCache>
                <c:formatCode>#\ ##0;\(#\ ##0\)</c:formatCode>
                <c:ptCount val="3"/>
                <c:pt idx="0">
                  <c:v>5533.7375964718849</c:v>
                </c:pt>
                <c:pt idx="1">
                  <c:v>4799.3686255463817</c:v>
                </c:pt>
                <c:pt idx="2">
                  <c:v>5148.5413677666193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D-9E4B-439F-AD20-2C3C8A097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0718608"/>
        <c:axId val="-1450720784"/>
      </c:lineChart>
      <c:catAx>
        <c:axId val="-131770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450707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50707184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Cauze</a:t>
                </a:r>
                <a:r>
                  <a:rPr lang="ro-RO" baseline="0"/>
                  <a:t> per judecător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6002166395867E-2"/>
              <c:y val="0.39641996765759357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317709536"/>
        <c:crosses val="autoZero"/>
        <c:crossBetween val="between"/>
      </c:valAx>
      <c:catAx>
        <c:axId val="-1450718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50720784"/>
        <c:crosses val="autoZero"/>
        <c:auto val="0"/>
        <c:lblAlgn val="ctr"/>
        <c:lblOffset val="100"/>
        <c:noMultiLvlLbl val="0"/>
      </c:catAx>
      <c:valAx>
        <c:axId val="-14507207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/>
                  <a:t>Cost </a:t>
                </a:r>
                <a:r>
                  <a:rPr lang="ro-RO"/>
                  <a:t>per</a:t>
                </a:r>
                <a:r>
                  <a:rPr lang="en-GB"/>
                  <a:t> Ca</a:t>
                </a:r>
                <a:r>
                  <a:rPr lang="ro-RO"/>
                  <a:t>uză</a:t>
                </a:r>
                <a:r>
                  <a:rPr lang="en-GB"/>
                  <a:t> </a:t>
                </a:r>
                <a:r>
                  <a:rPr lang="ro-RO"/>
                  <a:t>(MDL)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722959630046244"/>
              <c:y val="0.3678338197235834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450718608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5395492230137884E-2"/>
          <c:y val="0.87601006753005972"/>
          <c:w val="0.87998200224971879"/>
          <c:h val="8.901335981650941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1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x-none" sz="1100"/>
              <a:t>Numărul de j</a:t>
            </a:r>
            <a:r>
              <a:rPr lang="ro-RO" sz="1100" b="1" i="0" u="none" strike="noStrike" baseline="0">
                <a:effectLst/>
              </a:rPr>
              <a:t>udecători</a:t>
            </a:r>
            <a:r>
              <a:rPr lang="en-GB" sz="1100" b="1" i="0" u="none" strike="noStrike" baseline="0">
                <a:effectLst/>
              </a:rPr>
              <a:t>, </a:t>
            </a:r>
            <a:r>
              <a:rPr lang="ro-RO" sz="1100" b="1" i="0" u="none" strike="noStrike" baseline="0">
                <a:effectLst/>
              </a:rPr>
              <a:t>angajați și ratele Judecător/angajați</a:t>
            </a:r>
            <a:endParaRPr lang="en-GB" sz="1100"/>
          </a:p>
        </c:rich>
      </c:tx>
      <c:layout>
        <c:manualLayout>
          <c:xMode val="edge"/>
          <c:yMode val="edge"/>
          <c:x val="0.15015828692550826"/>
          <c:y val="5.27079652991666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312572717722102E-2"/>
          <c:y val="0.14249399275900712"/>
          <c:w val="0.80156311154412196"/>
          <c:h val="0.69465821470015976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'[Basic 2020-2022.xlsx]Rezultat CPJ, CPC'!$A$15</c:f>
              <c:strCache>
                <c:ptCount val="1"/>
                <c:pt idx="0">
                  <c:v>Judecători</c:v>
                </c:pt>
              </c:strCache>
            </c:strRef>
          </c:tx>
          <c:spPr>
            <a:solidFill>
              <a:srgbClr val="00B0F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CPC'!$B$15:$E$15</c:f>
              <c:numCache>
                <c:formatCode>0.00</c:formatCode>
                <c:ptCount val="3"/>
                <c:pt idx="0">
                  <c:v>9</c:v>
                </c:pt>
                <c:pt idx="1">
                  <c:v>8.17</c:v>
                </c:pt>
                <c:pt idx="2">
                  <c:v>7.08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8-4B75-8D40-62E06363029D}"/>
            </c:ext>
          </c:extLst>
        </c:ser>
        <c:ser>
          <c:idx val="3"/>
          <c:order val="1"/>
          <c:tx>
            <c:strRef>
              <c:f>'[Basic 2020-2022.xlsx]Rezultat CPJ, CPC'!$A$16</c:f>
              <c:strCache>
                <c:ptCount val="1"/>
                <c:pt idx="0">
                  <c:v>Asistenți judiciari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4.0505121186857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FC-46F9-8CFC-80EF3F1ECFDB}"/>
                </c:ext>
              </c:extLst>
            </c:dLbl>
            <c:dLbl>
              <c:idx val="1"/>
              <c:layout>
                <c:manualLayout>
                  <c:x val="-6.3361902732993443E-3"/>
                  <c:y val="-7.020887672388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FC-46F9-8CFC-80EF3F1ECFDB}"/>
                </c:ext>
              </c:extLst>
            </c:dLbl>
            <c:dLbl>
              <c:idx val="2"/>
              <c:layout>
                <c:manualLayout>
                  <c:x val="0"/>
                  <c:y val="6.4808193898971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FC-46F9-8CFC-80EF3F1ECFD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CPC'!$B$16:$E$16</c:f>
              <c:numCache>
                <c:formatCode>0.00</c:formatCode>
                <c:ptCount val="3"/>
                <c:pt idx="0">
                  <c:v>16.399999999999999</c:v>
                </c:pt>
                <c:pt idx="1">
                  <c:v>17.3</c:v>
                </c:pt>
                <c:pt idx="2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F8-4B75-8D40-62E06363029D}"/>
            </c:ext>
          </c:extLst>
        </c:ser>
        <c:ser>
          <c:idx val="0"/>
          <c:order val="2"/>
          <c:tx>
            <c:strRef>
              <c:f>'[Basic 2020-2022.xlsx]Rezultat CPJ, CPC'!$A$17</c:f>
              <c:strCache>
                <c:ptCount val="1"/>
                <c:pt idx="0">
                  <c:v>Personalul non-judiciar</c:v>
                </c:pt>
              </c:strCache>
            </c:strRef>
          </c:tx>
          <c:spPr>
            <a:solidFill>
              <a:srgbClr val="99CC0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6.3361902732993443E-3"/>
                  <c:y val="-2.700341412457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FC-46F9-8CFC-80EF3F1ECFDB}"/>
                </c:ext>
              </c:extLst>
            </c:dLbl>
            <c:dLbl>
              <c:idx val="1"/>
              <c:layout>
                <c:manualLayout>
                  <c:x val="-4.224126848866229E-3"/>
                  <c:y val="3.7804779774400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FC-46F9-8CFC-80EF3F1ECFD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'[Basic 2020-2022.xlsx]Rezultat CPJ, CPC'!$B$8:$E$8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CPC'!$B$17:$E$17</c:f>
              <c:numCache>
                <c:formatCode>0.00</c:formatCode>
                <c:ptCount val="3"/>
                <c:pt idx="0">
                  <c:v>11.4</c:v>
                </c:pt>
                <c:pt idx="1">
                  <c:v>11.4</c:v>
                </c:pt>
                <c:pt idx="2">
                  <c:v>14.1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F8-4B75-8D40-62E063630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50706640"/>
        <c:axId val="-1450719696"/>
      </c:barChart>
      <c:lineChart>
        <c:grouping val="standard"/>
        <c:varyColors val="0"/>
        <c:ser>
          <c:idx val="2"/>
          <c:order val="3"/>
          <c:tx>
            <c:strRef>
              <c:f>'[Basic 2020-2022.xlsx]Rezultat CPJ, CPC'!$A$19</c:f>
              <c:strCache>
                <c:ptCount val="1"/>
                <c:pt idx="0">
                  <c:v>Rata asistenți judiciari / Judecător</c:v>
                </c:pt>
              </c:strCache>
            </c:strRef>
          </c:tx>
          <c:spPr>
            <a:ln w="38100" cap="rnd" cmpd="sng" algn="ctr">
              <a:solidFill>
                <a:srgbClr val="FF0000"/>
              </a:solidFill>
              <a:prstDash val="solid"/>
            </a:ln>
            <a:effectLst/>
          </c:spPr>
          <c:marker>
            <c:symbol val="diamond"/>
            <c:size val="3"/>
            <c:spPr>
              <a:solidFill>
                <a:srgbClr val="FF0000"/>
              </a:solidFill>
              <a:ln w="25400" cap="flat" cmpd="sng" algn="ctr">
                <a:solidFill>
                  <a:srgbClr val="FF0000"/>
                </a:solidFill>
                <a:prstDash val="solid"/>
              </a:ln>
              <a:effectLst/>
            </c:spPr>
          </c:marker>
          <c:dLbls>
            <c:dLbl>
              <c:idx val="0"/>
              <c:layout>
                <c:manualLayout>
                  <c:x val="-3.5469056933920974E-2"/>
                  <c:y val="3.3757694420576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F8-4B75-8D40-62E06363029D}"/>
                </c:ext>
              </c:extLst>
            </c:dLbl>
            <c:dLbl>
              <c:idx val="1"/>
              <c:layout>
                <c:manualLayout>
                  <c:x val="-3.5416728569306194E-2"/>
                  <c:y val="3.3028232830466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F8-4B75-8D40-62E06363029D}"/>
                </c:ext>
              </c:extLst>
            </c:dLbl>
            <c:dLbl>
              <c:idx val="2"/>
              <c:layout>
                <c:manualLayout>
                  <c:x val="-3.5456016111193651E-2"/>
                  <c:y val="3.0184572187868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F8-4B75-8D40-62E06363029D}"/>
                </c:ext>
              </c:extLst>
            </c:dLbl>
            <c:dLbl>
              <c:idx val="3"/>
              <c:layout>
                <c:manualLayout>
                  <c:x val="-3.5639412997903561E-2"/>
                  <c:y val="2.894520117006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F8-4B75-8D40-62E06363029D}"/>
                </c:ext>
              </c:extLst>
            </c:dLbl>
            <c:dLbl>
              <c:idx val="4"/>
              <c:layout>
                <c:manualLayout>
                  <c:x val="-3.5639412997903561E-2"/>
                  <c:y val="2.623732856290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F8-4B75-8D40-62E06363029D}"/>
                </c:ext>
              </c:extLst>
            </c:dLbl>
            <c:dLbl>
              <c:idx val="5"/>
              <c:layout>
                <c:manualLayout>
                  <c:x val="-3.5639412997903561E-2"/>
                  <c:y val="2.623732856290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F8-4B75-8D40-62E06363029D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CPC'!$B$8:$D$8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CPC'!$B$19:$E$19</c:f>
              <c:numCache>
                <c:formatCode>0.00</c:formatCode>
                <c:ptCount val="3"/>
                <c:pt idx="0">
                  <c:v>1.822222222222222</c:v>
                </c:pt>
                <c:pt idx="1">
                  <c:v>2.1175030599755202</c:v>
                </c:pt>
                <c:pt idx="2">
                  <c:v>2.5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9-94F8-4B75-8D40-62E06363029D}"/>
            </c:ext>
          </c:extLst>
        </c:ser>
        <c:ser>
          <c:idx val="6"/>
          <c:order val="4"/>
          <c:tx>
            <c:strRef>
              <c:f>'[Basic 2020-2022.xlsx]Rezultat CPJ, CPC'!$A$20</c:f>
              <c:strCache>
                <c:ptCount val="1"/>
                <c:pt idx="0">
                  <c:v>Rata personal non-judiciar / Judecător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 w="9525">
                <a:noFill/>
              </a:ln>
            </c:spPr>
          </c:marker>
          <c:dLbls>
            <c:dLbl>
              <c:idx val="3"/>
              <c:layout>
                <c:manualLayout>
                  <c:x val="-2.9645997375328085E-2"/>
                  <c:y val="3.9745355359991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F8-4B75-8D40-62E06363029D}"/>
                </c:ext>
              </c:extLst>
            </c:dLbl>
            <c:dLbl>
              <c:idx val="4"/>
              <c:layout>
                <c:manualLayout>
                  <c:x val="5.7708333333333335E-3"/>
                  <c:y val="-1.014832162373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F8-4B75-8D40-62E06363029D}"/>
                </c:ext>
              </c:extLst>
            </c:dLbl>
            <c:spPr>
              <a:solidFill>
                <a:sysClr val="window" lastClr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'[Basic 2020-2022.xlsx]Rezultat CPJ, CPC'!$B$8:$D$8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'[Basic 2020-2022.xlsx]Rezultat CPJ, CPC'!$B$20:$E$20</c:f>
              <c:numCache>
                <c:formatCode>#\ ##0.00;\(#\ ##0.00\)</c:formatCode>
                <c:ptCount val="3"/>
                <c:pt idx="0">
                  <c:v>1.2666666666666666</c:v>
                </c:pt>
                <c:pt idx="1">
                  <c:v>1.3953488372093024</c:v>
                </c:pt>
                <c:pt idx="2">
                  <c:v>1.9915254237288136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C-94F8-4B75-8D40-62E06363029D}"/>
            </c:ext>
          </c:extLst>
        </c:ser>
        <c:ser>
          <c:idx val="4"/>
          <c:order val="5"/>
          <c:tx>
            <c:strRef>
              <c:f>'[Basic 2020-2022.xlsx]Rezultat CPJ, CPC'!$A$21</c:f>
              <c:strCache>
                <c:ptCount val="1"/>
                <c:pt idx="0">
                  <c:v>Rata angajați / Judecător</c:v>
                </c:pt>
              </c:strCache>
            </c:strRef>
          </c:tx>
          <c:spPr>
            <a:ln w="38100" cmpd="sng">
              <a:solidFill>
                <a:srgbClr val="7030A0"/>
              </a:solidFill>
            </a:ln>
          </c:spPr>
          <c:marker>
            <c:symbol val="diamond"/>
            <c:size val="2"/>
            <c:spPr>
              <a:solidFill>
                <a:srgbClr val="7030A0"/>
              </a:solidFill>
            </c:spPr>
          </c:marker>
          <c:dLbls>
            <c:dLbl>
              <c:idx val="0"/>
              <c:layout>
                <c:manualLayout>
                  <c:x val="-7.2916666666666644E-2"/>
                  <c:y val="-2.3529411764705882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rgbClr val="7030A0"/>
                        </a:solidFill>
                      </a:defRPr>
                    </a:pPr>
                    <a:r>
                      <a:rPr lang="en-US" b="1">
                        <a:solidFill>
                          <a:srgbClr val="7030A0"/>
                        </a:solidFill>
                      </a:rPr>
                      <a:t>3,09</a:t>
                    </a:r>
                    <a:endParaRPr lang="en-US" b="1"/>
                  </a:p>
                </c:rich>
              </c:tx>
              <c:spPr>
                <a:solidFill>
                  <a:sysClr val="window" lastClr="FFFFFF"/>
                </a:solidFill>
                <a:ln cmpd="sng"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4F8-4B75-8D40-62E06363029D}"/>
                </c:ext>
              </c:extLst>
            </c:dLbl>
            <c:dLbl>
              <c:idx val="1"/>
              <c:layout>
                <c:manualLayout>
                  <c:x val="-4.5898908862807244E-2"/>
                  <c:y val="-2.9955441616309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4F8-4B75-8D40-62E06363029D}"/>
                </c:ext>
              </c:extLst>
            </c:dLbl>
            <c:dLbl>
              <c:idx val="2"/>
              <c:layout>
                <c:manualLayout>
                  <c:x val="-3.9583333333333331E-2"/>
                  <c:y val="-3.921568627450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4F8-4B75-8D40-62E06363029D}"/>
                </c:ext>
              </c:extLst>
            </c:dLbl>
            <c:dLbl>
              <c:idx val="3"/>
              <c:layout>
                <c:manualLayout>
                  <c:x val="-2.6965615147163207E-2"/>
                  <c:y val="-2.9174331741627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4F8-4B75-8D40-62E06363029D}"/>
                </c:ext>
              </c:extLst>
            </c:dLbl>
            <c:dLbl>
              <c:idx val="4"/>
              <c:layout>
                <c:manualLayout>
                  <c:x val="-6.25000000000000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4F8-4B75-8D40-62E06363029D}"/>
                </c:ext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'[Basic 2020-2022.xlsx]Rezultat CPJ, CPC'!$B$21:$E$21</c:f>
              <c:numCache>
                <c:formatCode>#\ ##0.00;\(#\ ##0.00\)</c:formatCode>
                <c:ptCount val="3"/>
                <c:pt idx="0">
                  <c:v>3.0888888888888886</c:v>
                </c:pt>
                <c:pt idx="1">
                  <c:v>3.5128518971848228</c:v>
                </c:pt>
                <c:pt idx="2">
                  <c:v>4.4915254237288131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12-94F8-4B75-8D40-62E063630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0706096"/>
        <c:axId val="-1450710448"/>
      </c:lineChart>
      <c:catAx>
        <c:axId val="-14507066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4507196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45071969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 sz="900"/>
                  <a:t>Numărul total de angajați</a:t>
                </a:r>
                <a:endParaRPr lang="en-GB" sz="900"/>
              </a:p>
            </c:rich>
          </c:tx>
          <c:layout>
            <c:manualLayout>
              <c:xMode val="edge"/>
              <c:yMode val="edge"/>
              <c:x val="5.6767196553261035E-3"/>
              <c:y val="0.31900799801599605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450706640"/>
        <c:crosses val="autoZero"/>
        <c:crossBetween val="between"/>
      </c:valAx>
      <c:catAx>
        <c:axId val="-1450706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450710448"/>
        <c:crosses val="autoZero"/>
        <c:auto val="0"/>
        <c:lblAlgn val="ctr"/>
        <c:lblOffset val="100"/>
        <c:noMultiLvlLbl val="0"/>
      </c:catAx>
      <c:valAx>
        <c:axId val="-1450710448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 algn="ctr">
                  <a:defRPr sz="900"/>
                </a:pPr>
                <a:r>
                  <a:rPr lang="ro-RO" sz="900"/>
                  <a:t>Angajați per judecător</a:t>
                </a:r>
                <a:endParaRPr lang="en-GB" sz="900"/>
              </a:p>
            </c:rich>
          </c:tx>
          <c:layout>
            <c:manualLayout>
              <c:xMode val="edge"/>
              <c:yMode val="edge"/>
              <c:x val="0.95757968933128645"/>
              <c:y val="0.39147994295988597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-1450706096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0207035441324551"/>
          <c:y val="0.88581691152648856"/>
          <c:w val="0.80000295275590549"/>
          <c:h val="0.1094126650984369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834991338180738E-2"/>
          <c:y val="9.7070581109488005E-2"/>
          <c:w val="0.92746644801099709"/>
          <c:h val="0.6066252182278121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1875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B1-490B-8CAB-4FEE65AB8AF8}"/>
                </c:ext>
              </c:extLst>
            </c:dLbl>
            <c:dLbl>
              <c:idx val="1"/>
              <c:layout>
                <c:manualLayout>
                  <c:x val="-5.1570369490568584E-2"/>
                  <c:y val="-5.4762532511490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7B1-490B-8CAB-4FEE65AB8AF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2332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7B1-490B-8CAB-4FEE65AB8AF8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1875</c:v>
                </c:pt>
                <c:pt idx="1">
                  <c:v>2130</c:v>
                </c:pt>
                <c:pt idx="2">
                  <c:v>2332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B5D-4E91-869E-00B1AA7285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7B1-490B-8CAB-4FEE65AB8AF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7B1-490B-8CAB-4FEE65AB8AF8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20</c:v>
                </c:pt>
                <c:pt idx="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B5D-4E91-869E-00B1AA72850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446383984"/>
        <c:axId val="-1446385616"/>
      </c:lineChart>
      <c:catAx>
        <c:axId val="-144638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-1446385616"/>
        <c:crosses val="autoZero"/>
        <c:auto val="1"/>
        <c:lblAlgn val="ctr"/>
        <c:lblOffset val="100"/>
        <c:noMultiLvlLbl val="0"/>
      </c:catAx>
      <c:valAx>
        <c:axId val="-1446385616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one"/>
        <c:crossAx val="-144638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58799592916881"/>
          <c:y val="0.25980582178358924"/>
          <c:w val="0.16062617908891155"/>
          <c:h val="0.163646274984857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BE1-4CF1-A9E9-550D991D22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BE1-4CF1-A9E9-550D991D22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BE1-4CF1-A9E9-550D991D225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BE1-4CF1-A9E9-550D991D225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BE1-4CF1-A9E9-550D991D225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BE1-4CF1-A9E9-550D991D225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BE1-4CF1-A9E9-550D991D225D}"/>
              </c:ext>
            </c:extLst>
          </c:dPt>
          <c:dLbls>
            <c:dLbl>
              <c:idx val="0"/>
              <c:layout>
                <c:manualLayout>
                  <c:x val="-6.3084849122069181E-3"/>
                  <c:y val="1.239588180631232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20%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BE1-4CF1-A9E9-550D991D225D}"/>
                </c:ext>
              </c:extLst>
            </c:dLbl>
            <c:dLbl>
              <c:idx val="1"/>
              <c:layout>
                <c:manualLayout>
                  <c:x val="-9.5987713572662694E-3"/>
                  <c:y val="-5.57717232248623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BE1-4CF1-A9E9-550D991D225D}"/>
                </c:ext>
              </c:extLst>
            </c:dLbl>
            <c:dLbl>
              <c:idx val="2"/>
              <c:layout>
                <c:manualLayout>
                  <c:x val="0"/>
                  <c:y val="-2.584837293568400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BE1-4CF1-A9E9-550D991D225D}"/>
                </c:ext>
              </c:extLst>
            </c:dLbl>
            <c:dLbl>
              <c:idx val="3"/>
              <c:layout>
                <c:manualLayout>
                  <c:x val="1.9197542714531131E-3"/>
                  <c:y val="3.5352588669779111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BE1-4CF1-A9E9-550D991D225D}"/>
                </c:ext>
              </c:extLst>
            </c:dLbl>
            <c:dLbl>
              <c:idx val="4"/>
              <c:layout>
                <c:manualLayout>
                  <c:x val="-7.6335022817866749E-2"/>
                  <c:y val="-0.119061737857988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BE1-4CF1-A9E9-550D991D225D}"/>
                </c:ext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14%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BE1-4CF1-A9E9-550D991D225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BE1-4CF1-A9E9-550D991D22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0.22</c:v>
                </c:pt>
                <c:pt idx="1">
                  <c:v>0.02</c:v>
                </c:pt>
                <c:pt idx="2">
                  <c:v>0.01</c:v>
                </c:pt>
                <c:pt idx="3">
                  <c:v>0.02</c:v>
                </c:pt>
                <c:pt idx="4">
                  <c:v>0.57999999999999996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BE1-4CF1-A9E9-550D991D2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76836657100105E-2"/>
          <c:y val="9.2545694231659953E-2"/>
          <c:w val="0.97034540859309182"/>
          <c:h val="0.7333220508069975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Volum 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1818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865-4405-A194-8EEF465821D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2060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865-4405-A194-8EEF465821D2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2091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865-4405-A194-8EEF465821D2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1818</c:v>
                </c:pt>
                <c:pt idx="1">
                  <c:v>2060</c:v>
                </c:pt>
                <c:pt idx="2">
                  <c:v>2091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516-4EB4-A1BE-194B96C2FA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Diferența %</c:v>
                </c:pt>
              </c:strCache>
            </c:strRef>
          </c:tx>
          <c:marker>
            <c:symbol val="none"/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865-4405-A194-8EEF465821D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1,5%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865-4405-A194-8EEF465821D2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0.00</c:formatCode>
                <c:ptCount val="3"/>
                <c:pt idx="0">
                  <c:v>13</c:v>
                </c:pt>
                <c:pt idx="1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939-4CCB-B9EB-E80E8149D6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939-4CCB-B9EB-E80E8149D64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upDownBars>
          <c:gapWidth val="150"/>
          <c:upBars/>
          <c:downBars/>
        </c:upDownBars>
        <c:smooth val="0"/>
        <c:axId val="-1448528800"/>
        <c:axId val="-1448532064"/>
      </c:lineChart>
      <c:catAx>
        <c:axId val="-144852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-1448532064"/>
        <c:crosses val="autoZero"/>
        <c:auto val="1"/>
        <c:lblAlgn val="ctr"/>
        <c:lblOffset val="100"/>
        <c:noMultiLvlLbl val="0"/>
      </c:catAx>
      <c:valAx>
        <c:axId val="-144853206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-1448528800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83304281621285E-2"/>
          <c:y val="9.5476190476190492E-2"/>
          <c:w val="0.91571669571837866"/>
          <c:h val="0.7509300920718243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D099-4970-81DD-9AB16E8AC69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99-4970-81DD-9AB16E8AC69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D099-4970-81DD-9AB16E8AC69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99-4970-81DD-9AB16E8AC69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099-4970-81DD-9AB16E8AC69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099-4970-81DD-9AB16E8AC69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099-4970-81DD-9AB16E8AC69B}"/>
              </c:ext>
            </c:extLst>
          </c:dPt>
          <c:dLbls>
            <c:dLbl>
              <c:idx val="0"/>
              <c:layout>
                <c:manualLayout>
                  <c:x val="-8.3956631282078326E-3"/>
                  <c:y val="-5.14025441089958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itchFamily="18" charset="0"/>
                        <a:cs typeface="Times New Roman" pitchFamily="18" charset="0"/>
                      </a:rPr>
                      <a:t>Civile 19%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099-4970-81DD-9AB16E8AC69B}"/>
                </c:ext>
              </c:extLst>
            </c:dLbl>
            <c:dLbl>
              <c:idx val="1"/>
              <c:layout>
                <c:manualLayout>
                  <c:x val="-8.3489876852431647E-3"/>
                  <c:y val="-8.73363698539504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Comerciale 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099-4970-81DD-9AB16E8AC69B}"/>
                </c:ext>
              </c:extLst>
            </c:dLbl>
            <c:dLbl>
              <c:idx val="2"/>
              <c:layout>
                <c:manualLayout>
                  <c:x val="3.5483197662283451E-2"/>
                  <c:y val="-4.3092340730136083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Insolvabilitate 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099-4970-81DD-9AB16E8AC69B}"/>
                </c:ext>
              </c:extLst>
            </c:dLbl>
            <c:dLbl>
              <c:idx val="3"/>
              <c:layout>
                <c:manualLayout>
                  <c:x val="-7.710281378424472E-17"/>
                  <c:y val="2.2078078213997276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 Contencios administrativ 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099-4970-81DD-9AB16E8AC69B}"/>
                </c:ext>
              </c:extLst>
            </c:dLbl>
            <c:dLbl>
              <c:idx val="4"/>
              <c:layout>
                <c:manualLayout>
                  <c:x val="-0.14831910882773969"/>
                  <c:y val="-0.201687357413994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Penale 57%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099-4970-81DD-9AB16E8AC69B}"/>
                </c:ext>
              </c:extLst>
            </c:dLbl>
            <c:dLbl>
              <c:idx val="5"/>
              <c:layout>
                <c:manualLayout>
                  <c:x val="-1.0514141520345018E-2"/>
                  <c:y val="1.20173859172938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Contravenționale 15%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099-4970-81DD-9AB16E8AC69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99-4970-81DD-9AB16E8AC6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6"/>
                <c:pt idx="0">
                  <c:v>cauze civile </c:v>
                </c:pt>
                <c:pt idx="1">
                  <c:v>cauze comerciale </c:v>
                </c:pt>
                <c:pt idx="2">
                  <c:v>Cauze insolvabilitate</c:v>
                </c:pt>
                <c:pt idx="3">
                  <c:v>Cauze contencios administrativ</c:v>
                </c:pt>
                <c:pt idx="4">
                  <c:v>Cauze penale</c:v>
                </c:pt>
                <c:pt idx="5">
                  <c:v>Cauze contravenționale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0.22</c:v>
                </c:pt>
                <c:pt idx="1">
                  <c:v>0.03</c:v>
                </c:pt>
                <c:pt idx="2">
                  <c:v>0.02</c:v>
                </c:pt>
                <c:pt idx="3">
                  <c:v>0.03</c:v>
                </c:pt>
                <c:pt idx="4">
                  <c:v>0.56999999999999995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099-4970-81DD-9AB16E8AC6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12031655016945E-2"/>
          <c:y val="0.90171115033825389"/>
          <c:w val="0.97166728620072751"/>
          <c:h val="7.732082589798589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56116898658845E-2"/>
          <c:y val="0.16103125997058435"/>
          <c:w val="0.93664695757169891"/>
          <c:h val="0.6801161641867009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Rata cauzelor încheiate printr-o singură ședință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3402777777777783E-2"/>
                  <c:y val="-5.9523809523809507E-2"/>
                </c:manualLayout>
              </c:layout>
              <c:tx>
                <c:rich>
                  <a:bodyPr/>
                  <a:lstStyle/>
                  <a:p>
                    <a:fld id="{37E51A73-010F-44F7-821D-9C8A212C2CB5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666-488A-AF20-21C2611C239D}"/>
                </c:ext>
              </c:extLst>
            </c:dLbl>
            <c:dLbl>
              <c:idx val="1"/>
              <c:layout>
                <c:manualLayout>
                  <c:x val="-4.1087962962962965E-2"/>
                  <c:y val="-5.9523809523809507E-2"/>
                </c:manualLayout>
              </c:layout>
              <c:tx>
                <c:rich>
                  <a:bodyPr/>
                  <a:lstStyle/>
                  <a:p>
                    <a:fld id="{255DBE65-2E92-45FC-883E-EFD5164F298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666-488A-AF20-21C2611C239D}"/>
                </c:ext>
              </c:extLst>
            </c:dLbl>
            <c:dLbl>
              <c:idx val="2"/>
              <c:layout>
                <c:manualLayout>
                  <c:x val="-3.5879629629629664E-2"/>
                  <c:y val="-5.1587301587301577E-2"/>
                </c:manualLayout>
              </c:layout>
              <c:tx>
                <c:rich>
                  <a:bodyPr/>
                  <a:lstStyle/>
                  <a:p>
                    <a:fld id="{9932B593-7C16-42B7-8835-15B2DA35EFD8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7666-488A-AF20-21C2611C23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0.55810000000000004</c:v>
                </c:pt>
                <c:pt idx="1">
                  <c:v>0.61990000000000001</c:v>
                </c:pt>
                <c:pt idx="2">
                  <c:v>0.59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666-488A-AF20-21C2611C23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9131961609140918E-2"/>
                  <c:y val="6.4027239112645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66-488A-AF20-21C2611C239D}"/>
                </c:ext>
              </c:extLst>
            </c:dLbl>
            <c:dLbl>
              <c:idx val="1"/>
              <c:layout>
                <c:manualLayout>
                  <c:x val="-6.286868530919712E-2"/>
                  <c:y val="9.4080413567118118E-2"/>
                </c:manualLayout>
              </c:layout>
              <c:tx>
                <c:rich>
                  <a:bodyPr/>
                  <a:lstStyle/>
                  <a:p>
                    <a:fld id="{2445D9AE-0033-4A6B-BDE7-091A1FDF4443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666-488A-AF20-21C2611C239D}"/>
                </c:ext>
              </c:extLst>
            </c:dLbl>
            <c:dLbl>
              <c:idx val="2"/>
              <c:layout>
                <c:manualLayout>
                  <c:x val="-4.6364515226085763E-2"/>
                  <c:y val="8.9777012090109867E-2"/>
                </c:manualLayout>
              </c:layout>
              <c:tx>
                <c:rich>
                  <a:bodyPr/>
                  <a:lstStyle/>
                  <a:p>
                    <a:fld id="{D434BB85-6649-455C-955A-A4F034275A56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7666-488A-AF20-21C2611C23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666-488A-AF20-21C2611C23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448521728"/>
        <c:axId val="-1448528256"/>
      </c:lineChart>
      <c:catAx>
        <c:axId val="-1448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-1448528256"/>
        <c:crosses val="autoZero"/>
        <c:auto val="1"/>
        <c:lblAlgn val="ctr"/>
        <c:lblOffset val="100"/>
        <c:noMultiLvlLbl val="0"/>
      </c:catAx>
      <c:valAx>
        <c:axId val="-144852825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-1448521728"/>
        <c:crosses val="autoZero"/>
        <c:crossBetween val="between"/>
      </c:val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15698505595915871"/>
          <c:y val="3.1434207791290738E-3"/>
          <c:w val="0.69470749212918792"/>
          <c:h val="0.13747239663366134"/>
        </c:manualLayout>
      </c:layout>
      <c:overlay val="0"/>
      <c:txPr>
        <a:bodyPr/>
        <a:lstStyle/>
        <a:p>
          <a:pPr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318519574193495E-2"/>
          <c:y val="7.7575757575757576E-2"/>
          <c:w val="0.65596639786542521"/>
          <c:h val="0.83419021713194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Cauze aflate în procedură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324</c:v>
                </c:pt>
                <c:pt idx="1">
                  <c:v>380</c:v>
                </c:pt>
                <c:pt idx="2">
                  <c:v>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19-456D-BF1F-AAD8B13222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Cauze soluționate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250</c:v>
                </c:pt>
                <c:pt idx="1">
                  <c:v>281</c:v>
                </c:pt>
                <c:pt idx="2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19-456D-BF1F-AAD8B13222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Restanța la sfîrșitul perioadei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655593551538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A19-456D-BF1F-AAD8B13222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74</c:v>
                </c:pt>
                <c:pt idx="1">
                  <c:v>99</c:v>
                </c:pt>
                <c:pt idx="2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19-456D-BF1F-AAD8B13222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48522272"/>
        <c:axId val="-1448520640"/>
      </c:barChart>
      <c:catAx>
        <c:axId val="-144852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48520640"/>
        <c:crosses val="autoZero"/>
        <c:auto val="1"/>
        <c:lblAlgn val="ctr"/>
        <c:lblOffset val="100"/>
        <c:noMultiLvlLbl val="0"/>
      </c:catAx>
      <c:valAx>
        <c:axId val="-144852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44852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7AB0-DC9B-44F8-8963-BC3CCE96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25</Pages>
  <Words>4185</Words>
  <Characters>23858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2023-01-23T09:14:00Z</cp:lastPrinted>
  <dcterms:created xsi:type="dcterms:W3CDTF">2023-01-17T15:00:00Z</dcterms:created>
  <dcterms:modified xsi:type="dcterms:W3CDTF">2023-02-14T14:27:00Z</dcterms:modified>
</cp:coreProperties>
</file>