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6E556" w14:textId="77777777" w:rsidR="002A7A3A" w:rsidRPr="00A219DB" w:rsidRDefault="002A7A3A" w:rsidP="002A7A3A">
      <w:pPr>
        <w:ind w:left="1134" w:right="567"/>
        <w:jc w:val="center"/>
        <w:rPr>
          <w:rFonts w:ascii="Times New Roman"/>
          <w:b/>
          <w:sz w:val="36"/>
          <w:szCs w:val="36"/>
          <w:lang w:val="ro-MD"/>
        </w:rPr>
      </w:pPr>
      <w:r w:rsidRPr="00A219DB">
        <w:rPr>
          <w:rFonts w:ascii="Times New Roman"/>
          <w:b/>
          <w:sz w:val="36"/>
          <w:szCs w:val="36"/>
          <w:lang w:val="ro-MD"/>
        </w:rPr>
        <w:t xml:space="preserve">Raportul Anual </w:t>
      </w:r>
    </w:p>
    <w:p w14:paraId="41F90469" w14:textId="77777777" w:rsidR="002A7A3A" w:rsidRDefault="002A7A3A" w:rsidP="002A7A3A">
      <w:pPr>
        <w:ind w:left="1134" w:right="567"/>
        <w:jc w:val="center"/>
        <w:rPr>
          <w:rFonts w:ascii="Times New Roman"/>
          <w:b/>
          <w:sz w:val="36"/>
          <w:szCs w:val="36"/>
          <w:lang w:val="ro-MD"/>
        </w:rPr>
      </w:pPr>
      <w:r w:rsidRPr="00A219DB">
        <w:rPr>
          <w:rFonts w:ascii="Times New Roman"/>
          <w:b/>
          <w:sz w:val="36"/>
          <w:szCs w:val="36"/>
          <w:lang w:val="ro-MD"/>
        </w:rPr>
        <w:t xml:space="preserve">privind </w:t>
      </w:r>
      <w:r w:rsidRPr="00A219DB">
        <w:rPr>
          <w:rFonts w:ascii="Times New Roman"/>
          <w:b/>
          <w:color w:val="000000"/>
          <w:sz w:val="36"/>
          <w:szCs w:val="36"/>
          <w:lang w:val="ro-MD"/>
        </w:rPr>
        <w:t>eficien</w:t>
      </w:r>
      <w:r w:rsidRPr="00A219DB">
        <w:rPr>
          <w:rFonts w:ascii="Times New Roman"/>
          <w:b/>
          <w:color w:val="000000"/>
          <w:sz w:val="36"/>
          <w:szCs w:val="36"/>
          <w:lang w:val="ro-MD"/>
        </w:rPr>
        <w:t>ț</w:t>
      </w:r>
      <w:r w:rsidRPr="00A219DB">
        <w:rPr>
          <w:rFonts w:ascii="Times New Roman"/>
          <w:b/>
          <w:color w:val="000000"/>
          <w:sz w:val="36"/>
          <w:szCs w:val="36"/>
          <w:lang w:val="ro-MD"/>
        </w:rPr>
        <w:t xml:space="preserve">a </w:t>
      </w:r>
      <w:r w:rsidRPr="00A219DB">
        <w:rPr>
          <w:rFonts w:ascii="Times New Roman"/>
          <w:b/>
          <w:color w:val="000000"/>
          <w:sz w:val="36"/>
          <w:szCs w:val="36"/>
          <w:lang w:val="ro-MD"/>
        </w:rPr>
        <w:t>ș</w:t>
      </w:r>
      <w:r w:rsidRPr="00A219DB">
        <w:rPr>
          <w:rFonts w:ascii="Times New Roman"/>
          <w:b/>
          <w:color w:val="000000"/>
          <w:sz w:val="36"/>
          <w:szCs w:val="36"/>
          <w:lang w:val="ro-MD"/>
        </w:rPr>
        <w:t xml:space="preserve">i calitatea serviciilor </w:t>
      </w:r>
      <w:r w:rsidRPr="00A219DB">
        <w:rPr>
          <w:rFonts w:ascii="Times New Roman"/>
          <w:b/>
          <w:sz w:val="36"/>
          <w:szCs w:val="36"/>
          <w:lang w:val="ro-MD"/>
        </w:rPr>
        <w:t>Cur</w:t>
      </w:r>
      <w:r w:rsidRPr="00A219DB">
        <w:rPr>
          <w:rFonts w:ascii="Times New Roman"/>
          <w:b/>
          <w:sz w:val="36"/>
          <w:szCs w:val="36"/>
          <w:lang w:val="ro-MD"/>
        </w:rPr>
        <w:t>ț</w:t>
      </w:r>
      <w:r w:rsidRPr="00A219DB">
        <w:rPr>
          <w:rFonts w:ascii="Times New Roman"/>
          <w:b/>
          <w:sz w:val="36"/>
          <w:szCs w:val="36"/>
          <w:lang w:val="ro-MD"/>
        </w:rPr>
        <w:t>ii de Apel Cahul</w:t>
      </w:r>
    </w:p>
    <w:p w14:paraId="3260DF61" w14:textId="77777777" w:rsidR="002A7A3A" w:rsidRDefault="002A7A3A" w:rsidP="002A7A3A">
      <w:pPr>
        <w:ind w:right="-1" w:firstLine="567"/>
        <w:jc w:val="both"/>
        <w:rPr>
          <w:rFonts w:ascii="Times New Roman" w:hAnsi="Times New Roman"/>
          <w:sz w:val="24"/>
          <w:szCs w:val="24"/>
          <w:lang w:val="ro-MD"/>
        </w:rPr>
      </w:pPr>
      <w:r w:rsidRPr="00564A32">
        <w:rPr>
          <w:rFonts w:ascii="Times New Roman" w:hAnsi="Times New Roman"/>
          <w:sz w:val="24"/>
          <w:szCs w:val="24"/>
          <w:lang w:val="ro-MD"/>
        </w:rPr>
        <w:t>În anul 2020 Curtea de Apel Cahul a desfășurat activitatea, realizând înfăptuirea actului de justiție prin obiectivele sale stabilite în planurile de activitate și în planurile de acțiuni.</w:t>
      </w:r>
    </w:p>
    <w:p w14:paraId="46D9F166" w14:textId="77777777" w:rsidR="002A7A3A" w:rsidRDefault="002A7A3A" w:rsidP="002A7A3A">
      <w:pPr>
        <w:ind w:right="-1" w:firstLine="567"/>
        <w:jc w:val="both"/>
        <w:rPr>
          <w:rFonts w:ascii="Times New Roman" w:hAnsi="Times New Roman"/>
          <w:sz w:val="24"/>
          <w:szCs w:val="24"/>
          <w:lang w:val="ro-MD"/>
        </w:rPr>
      </w:pPr>
      <w:r w:rsidRPr="00A219DB">
        <w:rPr>
          <w:rFonts w:ascii="Times New Roman" w:hAnsi="Times New Roman"/>
          <w:sz w:val="24"/>
          <w:szCs w:val="24"/>
          <w:lang w:val="ro-MD"/>
        </w:rPr>
        <w:t>Raportul cuprinde analiza datelor statistice cu privire la examinarea cauzelor penale, civile, comerciale, contencios administrativ, insolvabilitate și contravenționale. La analiza statisticii judiciare au fost utilizați indicatorii de performanță recomandați de CEPEJ</w:t>
      </w:r>
    </w:p>
    <w:p w14:paraId="2F050B71" w14:textId="77777777" w:rsidR="002A7A3A" w:rsidRDefault="002A7A3A" w:rsidP="002A7A3A">
      <w:pPr>
        <w:ind w:right="-1" w:firstLine="567"/>
        <w:jc w:val="both"/>
        <w:rPr>
          <w:rFonts w:ascii="Times New Roman" w:hAnsi="Times New Roman"/>
          <w:sz w:val="24"/>
          <w:szCs w:val="24"/>
          <w:lang w:val="ro-MD"/>
        </w:rPr>
      </w:pPr>
      <w:r w:rsidRPr="002A7A3A">
        <w:rPr>
          <w:rFonts w:ascii="Times New Roman" w:hAnsi="Times New Roman"/>
          <w:b/>
          <w:sz w:val="24"/>
          <w:szCs w:val="24"/>
          <w:lang w:val="ro-MD"/>
        </w:rPr>
        <w:t>Rata de variație a stocului de cauze pendinte (indicatorul CR):</w:t>
      </w:r>
      <w:r w:rsidRPr="002A7A3A">
        <w:rPr>
          <w:rFonts w:ascii="Times New Roman" w:hAnsi="Times New Roman"/>
          <w:sz w:val="24"/>
          <w:szCs w:val="24"/>
          <w:lang w:val="ro-MD"/>
        </w:rPr>
        <w:t xml:space="preserve"> Raportul dintre cauzele noi și cauzele soluționate în decursul unei perioade, exprimat în procente. Indicator care oferă o perspectivă bună asupra modului în care un sistem judiciar sau o instanță judiciară gestionează fluxul său de cauze. O rată de variație a stocului de cauze pendinte mai mare de 100 % indicînd faptul că numărul cauzelor pendinte descrește, ceea ce este o tendință pozitivă, dacă se acordă atenția cuvenită și aspectelor legate de calitate. </w:t>
      </w:r>
    </w:p>
    <w:p w14:paraId="4A99B9A3" w14:textId="77777777" w:rsidR="002A7A3A" w:rsidRDefault="002A7A3A" w:rsidP="002A7A3A">
      <w:pPr>
        <w:ind w:right="-1" w:firstLine="567"/>
        <w:jc w:val="both"/>
        <w:rPr>
          <w:rFonts w:ascii="Times New Roman" w:hAnsi="Times New Roman"/>
          <w:sz w:val="24"/>
          <w:szCs w:val="24"/>
          <w:lang w:val="ro-MD"/>
        </w:rPr>
      </w:pPr>
      <w:r w:rsidRPr="002A7A3A">
        <w:rPr>
          <w:rFonts w:ascii="Times New Roman" w:hAnsi="Times New Roman"/>
          <w:b/>
          <w:sz w:val="24"/>
          <w:szCs w:val="24"/>
          <w:lang w:val="ro-MD"/>
        </w:rPr>
        <w:t>Durata lichidării stocului de cauze pendinte</w:t>
      </w:r>
      <w:r w:rsidRPr="002A7A3A">
        <w:rPr>
          <w:rFonts w:ascii="Times New Roman" w:hAnsi="Times New Roman"/>
          <w:sz w:val="24"/>
          <w:szCs w:val="24"/>
          <w:lang w:val="ro-MD"/>
        </w:rPr>
        <w:t xml:space="preserve"> (</w:t>
      </w:r>
      <w:r w:rsidRPr="002A7A3A">
        <w:rPr>
          <w:rFonts w:ascii="Times New Roman" w:hAnsi="Times New Roman"/>
          <w:b/>
          <w:sz w:val="24"/>
          <w:szCs w:val="24"/>
          <w:lang w:val="ro-MD"/>
        </w:rPr>
        <w:t>indicatorul DT</w:t>
      </w:r>
      <w:r w:rsidRPr="002A7A3A">
        <w:rPr>
          <w:rFonts w:ascii="Times New Roman" w:hAnsi="Times New Roman"/>
          <w:sz w:val="24"/>
          <w:szCs w:val="24"/>
          <w:lang w:val="ro-MD"/>
        </w:rPr>
        <w:t xml:space="preserve">): compară numărul de cauze soluționate în perioada supusă monitorizării (de exemplu, un an calendaristic) și numărul de cauze nesoluționate la sfârșitul perioadei respective. Indicatorul măsoară rapiditatea cu care instanța judiciară examinează cauzele cu care a fost sesizată – adică timpul necesar instanței pentru  a soluționa toate cauzele pendinte la un anumit moment (în totalitate sau per categorii), dacă nu s-ar înregistra cauze noi. Indirect, acest indicator poate răspunde la una dintre cele mai frecvente întrebări – care este durata medie a procedurilor pentru diferite categorii de cauze. </w:t>
      </w:r>
    </w:p>
    <w:p w14:paraId="1EAB3B80" w14:textId="77777777" w:rsidR="002A7A3A" w:rsidRPr="002A7A3A" w:rsidRDefault="002A7A3A" w:rsidP="002A7A3A">
      <w:pPr>
        <w:ind w:right="-1" w:firstLine="567"/>
        <w:jc w:val="both"/>
        <w:rPr>
          <w:rFonts w:ascii="Times New Roman" w:hAnsi="Times New Roman"/>
          <w:sz w:val="24"/>
          <w:szCs w:val="24"/>
          <w:lang w:val="ro-MD"/>
        </w:rPr>
      </w:pPr>
      <w:r w:rsidRPr="002A7A3A">
        <w:rPr>
          <w:rFonts w:ascii="Times New Roman" w:hAnsi="Times New Roman"/>
          <w:b/>
          <w:sz w:val="24"/>
          <w:szCs w:val="24"/>
          <w:lang w:val="ro-MD"/>
        </w:rPr>
        <w:t>Cauze per judecător (indicatorul CPJ):</w:t>
      </w:r>
      <w:r w:rsidRPr="002A7A3A">
        <w:rPr>
          <w:rFonts w:ascii="Times New Roman" w:hAnsi="Times New Roman"/>
          <w:sz w:val="24"/>
          <w:szCs w:val="24"/>
          <w:lang w:val="ro-MD"/>
        </w:rPr>
        <w:t xml:space="preserve"> Numărul mediu de cauze examinate de fiecare judecător al instanței în decursul unei perioade de referință. În raport acest indicator a fost calculat reieșind din numărul total de cauze examinate în Curtea de Apel Cahul raportat la numărul total de judecători care au activat pe parcursul anului respectiv.</w:t>
      </w:r>
    </w:p>
    <w:p w14:paraId="6C7CE21B" w14:textId="77777777" w:rsidR="002A7A3A" w:rsidRPr="002A7A3A" w:rsidRDefault="002A7A3A" w:rsidP="002A7A3A">
      <w:pPr>
        <w:ind w:right="-1" w:firstLine="567"/>
        <w:jc w:val="both"/>
        <w:rPr>
          <w:rFonts w:ascii="Times New Roman" w:hAnsi="Times New Roman"/>
          <w:sz w:val="24"/>
          <w:szCs w:val="24"/>
          <w:lang w:val="ro-MD"/>
        </w:rPr>
      </w:pPr>
      <w:r w:rsidRPr="002A7A3A">
        <w:rPr>
          <w:rFonts w:ascii="Times New Roman" w:hAnsi="Times New Roman"/>
          <w:b/>
          <w:sz w:val="24"/>
          <w:szCs w:val="24"/>
          <w:lang w:val="ro-MD"/>
        </w:rPr>
        <w:t xml:space="preserve"> Cauze per personal (CPS):</w:t>
      </w:r>
      <w:r w:rsidRPr="002A7A3A">
        <w:rPr>
          <w:rFonts w:ascii="Times New Roman" w:hAnsi="Times New Roman"/>
          <w:sz w:val="24"/>
          <w:szCs w:val="24"/>
          <w:lang w:val="ro-MD"/>
        </w:rPr>
        <w:t xml:space="preserve"> Raportul dintre numărul de angajați al instanței în cursul unui an și cauzele soluționate de către aceeași instanță la sfârșitul anului. </w:t>
      </w:r>
    </w:p>
    <w:p w14:paraId="0C9E9C4E" w14:textId="77777777" w:rsidR="002A7A3A" w:rsidRPr="002A7A3A" w:rsidRDefault="002A7A3A" w:rsidP="002A7A3A">
      <w:pPr>
        <w:ind w:right="-1" w:firstLine="567"/>
        <w:jc w:val="both"/>
        <w:rPr>
          <w:rFonts w:ascii="Times New Roman" w:hAnsi="Times New Roman"/>
          <w:sz w:val="24"/>
          <w:szCs w:val="24"/>
          <w:lang w:val="ro-MD"/>
        </w:rPr>
      </w:pPr>
      <w:r w:rsidRPr="002A7A3A">
        <w:rPr>
          <w:rFonts w:ascii="Times New Roman" w:hAnsi="Times New Roman"/>
          <w:b/>
          <w:sz w:val="24"/>
          <w:szCs w:val="24"/>
          <w:lang w:val="ro-MD"/>
        </w:rPr>
        <w:t>Vârsta cauzelor pendinte (indicatorul APC):</w:t>
      </w:r>
      <w:r w:rsidRPr="002A7A3A">
        <w:rPr>
          <w:rFonts w:ascii="Times New Roman" w:hAnsi="Times New Roman"/>
          <w:sz w:val="24"/>
          <w:szCs w:val="24"/>
          <w:lang w:val="ro-MD"/>
        </w:rPr>
        <w:t xml:space="preserve"> Durata cauzelor active, pendinte, măsurată în ani/zile de la data înregistrării dosarului pe rolul instanței. Cauzele înregistrate în instanță, însă nesoluționate formează volumul de cauze pendinte al instanței.</w:t>
      </w:r>
    </w:p>
    <w:p w14:paraId="6BFA644E" w14:textId="263B524F" w:rsidR="002A7A3A" w:rsidRDefault="002A7A3A" w:rsidP="002A7A3A">
      <w:pPr>
        <w:ind w:right="-1" w:firstLine="567"/>
        <w:jc w:val="both"/>
        <w:rPr>
          <w:rFonts w:ascii="Times New Roman" w:hAnsi="Times New Roman"/>
          <w:sz w:val="24"/>
          <w:szCs w:val="24"/>
          <w:lang w:val="ro-MD"/>
        </w:rPr>
      </w:pPr>
      <w:r w:rsidRPr="00A219DB">
        <w:rPr>
          <w:rFonts w:ascii="Times New Roman" w:hAnsi="Times New Roman"/>
          <w:b/>
          <w:sz w:val="24"/>
          <w:szCs w:val="24"/>
          <w:lang w:val="ro-MD"/>
        </w:rPr>
        <w:t>Personal per judecător (SPJ):</w:t>
      </w:r>
      <w:r w:rsidRPr="00A219DB">
        <w:rPr>
          <w:rFonts w:ascii="Times New Roman" w:hAnsi="Times New Roman"/>
          <w:sz w:val="24"/>
          <w:szCs w:val="24"/>
          <w:lang w:val="ro-MD"/>
        </w:rPr>
        <w:t xml:space="preserve"> Raportul dintre numărul de angajați din instanță și numărul de judecători din cadrul instanței într-o anumită perioadă de timp. Este evident faptul că eficiența instanței depinde de cantitatea și calitatea resurselor umane. O repartizare corespunzătoare a personalului auxiliar judiciar și administrativ va determina creșterea eficienței și a calității serviciilor judiciare.</w:t>
      </w:r>
    </w:p>
    <w:p w14:paraId="199945DA" w14:textId="77777777" w:rsidR="002A7A3A" w:rsidRDefault="002A7A3A" w:rsidP="002A7A3A">
      <w:pPr>
        <w:pStyle w:val="a4"/>
        <w:tabs>
          <w:tab w:val="left" w:pos="12333"/>
        </w:tabs>
        <w:spacing w:after="120" w:line="276" w:lineRule="auto"/>
        <w:ind w:right="-2" w:firstLine="567"/>
        <w:jc w:val="both"/>
        <w:outlineLvl w:val="0"/>
        <w:rPr>
          <w:rFonts w:ascii="Times New Roman" w:hAnsi="Times New Roman"/>
          <w:sz w:val="24"/>
          <w:szCs w:val="24"/>
          <w:lang w:val="ro-MD"/>
        </w:rPr>
      </w:pPr>
      <w:r w:rsidRPr="00A219DB">
        <w:rPr>
          <w:rFonts w:ascii="Times New Roman" w:hAnsi="Times New Roman"/>
          <w:b/>
          <w:sz w:val="24"/>
          <w:szCs w:val="24"/>
          <w:lang w:val="ro-MD"/>
        </w:rPr>
        <w:t>Rata deciziilor atacate cu apel/recurs și rata deciziilor modificate sau anulate (AR, QMD):</w:t>
      </w:r>
      <w:r w:rsidRPr="00A219DB">
        <w:rPr>
          <w:rFonts w:ascii="Times New Roman" w:hAnsi="Times New Roman"/>
          <w:sz w:val="24"/>
          <w:szCs w:val="24"/>
          <w:lang w:val="ro-MD"/>
        </w:rPr>
        <w:t xml:space="preserve"> </w:t>
      </w:r>
    </w:p>
    <w:p w14:paraId="2819882D" w14:textId="77777777" w:rsidR="002A7A3A" w:rsidRPr="00A219DB" w:rsidRDefault="002A7A3A" w:rsidP="002A7A3A">
      <w:pPr>
        <w:pStyle w:val="a4"/>
        <w:tabs>
          <w:tab w:val="left" w:pos="12333"/>
        </w:tabs>
        <w:spacing w:after="120" w:line="276" w:lineRule="auto"/>
        <w:ind w:right="-2" w:firstLine="567"/>
        <w:jc w:val="both"/>
        <w:outlineLvl w:val="0"/>
        <w:rPr>
          <w:rFonts w:ascii="Times New Roman" w:hAnsi="Times New Roman"/>
          <w:sz w:val="24"/>
          <w:szCs w:val="24"/>
          <w:lang w:val="ro-MD" w:eastAsia="en-US"/>
        </w:rPr>
      </w:pPr>
      <w:r w:rsidRPr="00A219DB">
        <w:rPr>
          <w:rFonts w:ascii="Times New Roman" w:hAnsi="Times New Roman"/>
          <w:sz w:val="24"/>
          <w:szCs w:val="24"/>
          <w:lang w:val="ro-MD"/>
        </w:rPr>
        <w:t xml:space="preserve">În sensul prezentului raport, rata deciziilor atacate cu apel/recurs este considerată rata exprimată în procente a deciziilor judecătorești contestate raportate la numărul total al deciziilor adoptate într-o anumită perioadă de timp. Rata deciziilor modificate sau anulate este rata exprimată în procente a deciziilor judecătorești modificate sau anulate de instanța ierarhic superioară, în raport cu numărul total al deciziilor adoptate într-o anumită perioadă de timp. Acești indicatori reflectă potențialul limitat al statisticilor judiciare existente în vederea evaluării calității deciziilor. </w:t>
      </w:r>
    </w:p>
    <w:p w14:paraId="7689E0DD" w14:textId="77777777" w:rsidR="002A7A3A" w:rsidRPr="00A219DB" w:rsidRDefault="002A7A3A" w:rsidP="00347C4C">
      <w:pPr>
        <w:pStyle w:val="a7"/>
      </w:pPr>
      <w:r>
        <w:t>Î</w:t>
      </w:r>
      <w:r w:rsidRPr="00A219DB">
        <w:t>n perioada anului de referința au activat 9 judecători, într-un colegiu mixt format din 3 complete de judecată.</w:t>
      </w:r>
    </w:p>
    <w:p w14:paraId="2284792B" w14:textId="77777777" w:rsidR="002A7A3A" w:rsidRPr="00A219DB" w:rsidRDefault="002A7A3A" w:rsidP="00347C4C">
      <w:pPr>
        <w:pStyle w:val="a7"/>
      </w:pPr>
      <w:r>
        <w:lastRenderedPageBreak/>
        <w:t>Î</w:t>
      </w:r>
      <w:r w:rsidRPr="00A219DB">
        <w:t>n instanță pentru buna activitate a mai fost formate: un complet de judecată specializat pentru judecarea cauzelor în care sunt implicați minori; un complet pentru judecarea recursurilor în procedura de insolvabilitate; un complet pentru soluționarea litigiilor de contencios administrativ.</w:t>
      </w:r>
    </w:p>
    <w:p w14:paraId="4F293C43" w14:textId="77777777" w:rsidR="002A7A3A" w:rsidRPr="00A219DB" w:rsidRDefault="002A7A3A" w:rsidP="00347C4C">
      <w:pPr>
        <w:pStyle w:val="a7"/>
        <w:rPr>
          <w:b/>
        </w:rPr>
      </w:pPr>
      <w:r w:rsidRPr="00A219DB">
        <w:t>Completele de judecată au petrecut ședințele de judecată in săli,</w:t>
      </w:r>
      <w:r w:rsidRPr="00A219DB">
        <w:rPr>
          <w:color w:val="FF0000"/>
        </w:rPr>
        <w:t xml:space="preserve"> </w:t>
      </w:r>
      <w:r w:rsidRPr="00A219DB">
        <w:t>asigurate cu sisteme de înregistrare audio a ședințelor de judecată. O sală dispunând și de un sistem de teleconferință.</w:t>
      </w:r>
      <w:r w:rsidRPr="00A219DB">
        <w:rPr>
          <w:b/>
        </w:rPr>
        <w:t xml:space="preserve"> </w:t>
      </w:r>
    </w:p>
    <w:p w14:paraId="7BF9C7C7" w14:textId="6639D70E" w:rsidR="002A7A3A" w:rsidRDefault="002A7A3A" w:rsidP="00347C4C">
      <w:pPr>
        <w:pStyle w:val="a7"/>
      </w:pPr>
      <w:r w:rsidRPr="00A219DB">
        <w:t xml:space="preserve">Datele statistice analizate privind activitatea instanței </w:t>
      </w:r>
      <w:r w:rsidRPr="00A219DB">
        <w:rPr>
          <w:rFonts w:cs="Calibri"/>
        </w:rPr>
        <w:t>î</w:t>
      </w:r>
      <w:r w:rsidRPr="00A219DB">
        <w:t xml:space="preserve">n perioada anului 2020 au fost selectate din rapoartele generate din PIGD. </w:t>
      </w:r>
    </w:p>
    <w:p w14:paraId="53FC309E" w14:textId="77777777" w:rsidR="002A7A3A" w:rsidRPr="002A7A3A" w:rsidRDefault="002A7A3A" w:rsidP="002A7A3A">
      <w:pPr>
        <w:pStyle w:val="a4"/>
        <w:rPr>
          <w:lang w:val="ro-MD" w:eastAsia="en-US"/>
        </w:rPr>
      </w:pPr>
    </w:p>
    <w:p w14:paraId="692E06A3" w14:textId="7E2A9C37" w:rsidR="002A7A3A" w:rsidRPr="00571156" w:rsidRDefault="002A7A3A" w:rsidP="007210B7">
      <w:pPr>
        <w:pStyle w:val="a7"/>
        <w:jc w:val="center"/>
      </w:pPr>
      <w:r w:rsidRPr="00A219DB">
        <w:t>VOLUMUL DE ACTIVITATE A CURȚII DE APEL CAHUL</w:t>
      </w:r>
    </w:p>
    <w:p w14:paraId="636DC3F9" w14:textId="05040C64" w:rsidR="002A7A3A" w:rsidRDefault="002A7A3A" w:rsidP="002A7A3A">
      <w:pPr>
        <w:pStyle w:val="a8"/>
        <w:tabs>
          <w:tab w:val="left" w:pos="567"/>
        </w:tabs>
        <w:spacing w:after="0" w:line="240" w:lineRule="auto"/>
        <w:ind w:left="0" w:right="567" w:firstLine="567"/>
        <w:jc w:val="center"/>
        <w:rPr>
          <w:rFonts w:ascii="Times New Roman"/>
          <w:b/>
          <w:sz w:val="28"/>
          <w:szCs w:val="28"/>
          <w:lang w:val="ro-MD"/>
        </w:rPr>
      </w:pPr>
      <w:r w:rsidRPr="00A219DB">
        <w:rPr>
          <w:rFonts w:ascii="Times New Roman"/>
          <w:b/>
          <w:sz w:val="28"/>
          <w:szCs w:val="28"/>
          <w:lang w:val="ro-MD"/>
        </w:rPr>
        <w:t>Indicatori cantitativi</w:t>
      </w:r>
    </w:p>
    <w:p w14:paraId="075BFF25" w14:textId="77777777" w:rsidR="002A7A3A" w:rsidRDefault="002A7A3A" w:rsidP="002A7A3A">
      <w:pPr>
        <w:pStyle w:val="a8"/>
        <w:tabs>
          <w:tab w:val="left" w:pos="567"/>
        </w:tabs>
        <w:spacing w:after="0" w:line="240" w:lineRule="auto"/>
        <w:ind w:left="0" w:right="567" w:firstLine="567"/>
        <w:jc w:val="center"/>
        <w:rPr>
          <w:rFonts w:ascii="Times New Roman"/>
          <w:b/>
          <w:sz w:val="28"/>
          <w:szCs w:val="28"/>
          <w:lang w:val="ro-MD"/>
        </w:rPr>
      </w:pPr>
    </w:p>
    <w:p w14:paraId="5BCD45CD" w14:textId="36C2BAAF" w:rsidR="002A7A3A" w:rsidRPr="00571156" w:rsidRDefault="002A7A3A" w:rsidP="00571156">
      <w:pPr>
        <w:pStyle w:val="a8"/>
        <w:tabs>
          <w:tab w:val="left" w:pos="567"/>
        </w:tabs>
        <w:spacing w:after="0" w:line="240" w:lineRule="auto"/>
        <w:ind w:left="0" w:right="-2" w:firstLine="567"/>
        <w:jc w:val="both"/>
        <w:rPr>
          <w:rFonts w:ascii="Times New Roman"/>
          <w:lang w:val="ro-MD"/>
        </w:rPr>
      </w:pPr>
      <w:r w:rsidRPr="00A219DB">
        <w:rPr>
          <w:rFonts w:ascii="Times New Roman"/>
          <w:sz w:val="24"/>
          <w:szCs w:val="24"/>
          <w:lang w:val="ro-MD"/>
        </w:rPr>
        <w:t xml:space="preserve">În perioada anului 2020 la Curtea de Apel Cahul </w:t>
      </w:r>
      <w:r w:rsidRPr="00A219DB">
        <w:rPr>
          <w:rFonts w:ascii="Times New Roman"/>
          <w:b/>
          <w:sz w:val="24"/>
          <w:szCs w:val="24"/>
          <w:lang w:val="ro-MD"/>
        </w:rPr>
        <w:t>s-au aflat în procedură în total</w:t>
      </w:r>
      <w:r w:rsidRPr="00A219DB">
        <w:rPr>
          <w:rFonts w:ascii="Times New Roman"/>
          <w:sz w:val="24"/>
          <w:szCs w:val="24"/>
          <w:lang w:val="ro-MD"/>
        </w:rPr>
        <w:t xml:space="preserve"> </w:t>
      </w:r>
      <w:r w:rsidRPr="00A219DB">
        <w:rPr>
          <w:rFonts w:ascii="Times New Roman"/>
          <w:b/>
          <w:sz w:val="24"/>
          <w:szCs w:val="24"/>
          <w:lang w:val="ro-MD"/>
        </w:rPr>
        <w:t>2083 cauze</w:t>
      </w:r>
      <w:r w:rsidR="001C491A">
        <w:rPr>
          <w:rFonts w:ascii="Times New Roman"/>
          <w:b/>
          <w:sz w:val="24"/>
          <w:szCs w:val="24"/>
          <w:lang w:val="ro-MD"/>
        </w:rPr>
        <w:t>.</w:t>
      </w:r>
      <w:r w:rsidRPr="00A219DB">
        <w:rPr>
          <w:rFonts w:ascii="Times New Roman"/>
          <w:b/>
          <w:sz w:val="24"/>
          <w:szCs w:val="24"/>
          <w:lang w:val="ro-MD"/>
        </w:rPr>
        <w:t xml:space="preserve"> </w:t>
      </w:r>
    </w:p>
    <w:p w14:paraId="197C1074" w14:textId="7AF1FB90" w:rsidR="002A7A3A" w:rsidRPr="00A219DB" w:rsidRDefault="002A7A3A" w:rsidP="00571156">
      <w:pPr>
        <w:tabs>
          <w:tab w:val="left" w:pos="567"/>
        </w:tabs>
        <w:spacing w:after="0" w:line="240" w:lineRule="auto"/>
        <w:ind w:right="-2" w:firstLine="567"/>
        <w:jc w:val="both"/>
        <w:rPr>
          <w:rFonts w:ascii="Times New Roman" w:hAnsi="Times New Roman"/>
          <w:sz w:val="24"/>
          <w:szCs w:val="24"/>
          <w:lang w:val="ro-MD"/>
        </w:rPr>
      </w:pPr>
      <w:r w:rsidRPr="00A219DB">
        <w:rPr>
          <w:rFonts w:ascii="Times New Roman" w:hAnsi="Times New Roman"/>
          <w:b/>
          <w:sz w:val="24"/>
          <w:szCs w:val="24"/>
          <w:lang w:val="ro-MD"/>
        </w:rPr>
        <w:t>Din numărul total de cauze aflate în procedură - 208 cauze</w:t>
      </w:r>
      <w:r w:rsidRPr="00A219DB">
        <w:rPr>
          <w:rFonts w:ascii="Times New Roman" w:hAnsi="Times New Roman"/>
          <w:sz w:val="24"/>
          <w:szCs w:val="24"/>
          <w:lang w:val="ro-MD"/>
        </w:rPr>
        <w:t xml:space="preserve"> sunt cele pendinte la începutul perioadei raportate și </w:t>
      </w:r>
      <w:r w:rsidRPr="00A219DB">
        <w:rPr>
          <w:rFonts w:ascii="Times New Roman" w:hAnsi="Times New Roman"/>
          <w:b/>
          <w:sz w:val="24"/>
          <w:szCs w:val="24"/>
          <w:lang w:val="ro-MD"/>
        </w:rPr>
        <w:t>1875 cauze</w:t>
      </w:r>
      <w:r w:rsidRPr="00A219DB">
        <w:rPr>
          <w:rFonts w:ascii="Times New Roman" w:hAnsi="Times New Roman"/>
          <w:sz w:val="24"/>
          <w:szCs w:val="24"/>
          <w:lang w:val="ro-MD"/>
        </w:rPr>
        <w:t xml:space="preserve">  noi înregistrate.</w:t>
      </w:r>
      <w:r w:rsidR="001C491A" w:rsidRPr="001C491A">
        <w:rPr>
          <w:rFonts w:ascii="Times New Roman"/>
          <w:lang w:val="ro-MD"/>
        </w:rPr>
        <w:t xml:space="preserve"> </w:t>
      </w:r>
      <w:r w:rsidR="001C491A" w:rsidRPr="00A219DB">
        <w:rPr>
          <w:rFonts w:ascii="Times New Roman"/>
          <w:lang w:val="ro-MD"/>
        </w:rPr>
        <w:t xml:space="preserve">Comparativ acest indice este </w:t>
      </w:r>
      <w:r w:rsidR="001C491A" w:rsidRPr="00A219DB">
        <w:rPr>
          <w:rFonts w:ascii="Times New Roman"/>
          <w:lang w:val="ro-MD"/>
        </w:rPr>
        <w:t>î</w:t>
      </w:r>
      <w:r w:rsidR="001C491A" w:rsidRPr="00A219DB">
        <w:rPr>
          <w:rFonts w:ascii="Times New Roman"/>
          <w:lang w:val="ro-MD"/>
        </w:rPr>
        <w:t>n cre</w:t>
      </w:r>
      <w:r w:rsidR="001C491A" w:rsidRPr="00A219DB">
        <w:rPr>
          <w:rFonts w:ascii="Times New Roman"/>
          <w:lang w:val="ro-MD"/>
        </w:rPr>
        <w:t>ș</w:t>
      </w:r>
      <w:r w:rsidR="001C491A" w:rsidRPr="00A219DB">
        <w:rPr>
          <w:rFonts w:ascii="Times New Roman"/>
          <w:lang w:val="ro-MD"/>
        </w:rPr>
        <w:t>tere cu 23% fa</w:t>
      </w:r>
      <w:r w:rsidR="001C491A">
        <w:rPr>
          <w:rFonts w:ascii="Times New Roman"/>
          <w:lang w:val="ro-MD"/>
        </w:rPr>
        <w:t>ță</w:t>
      </w:r>
      <w:r w:rsidR="001C491A" w:rsidRPr="00A219DB">
        <w:rPr>
          <w:rFonts w:ascii="Times New Roman"/>
          <w:lang w:val="ro-MD"/>
        </w:rPr>
        <w:t xml:space="preserve"> de anul 2018 </w:t>
      </w:r>
      <w:r w:rsidR="001C491A" w:rsidRPr="00A219DB">
        <w:rPr>
          <w:rFonts w:ascii="Times New Roman"/>
          <w:lang w:val="ro-MD"/>
        </w:rPr>
        <w:t>ș</w:t>
      </w:r>
      <w:r w:rsidR="001C491A" w:rsidRPr="00A219DB">
        <w:rPr>
          <w:rFonts w:ascii="Times New Roman"/>
          <w:lang w:val="ro-MD"/>
        </w:rPr>
        <w:t>i cu 16% fa</w:t>
      </w:r>
      <w:r w:rsidR="001C491A">
        <w:rPr>
          <w:rFonts w:ascii="Times New Roman"/>
          <w:lang w:val="ro-MD"/>
        </w:rPr>
        <w:t>ță</w:t>
      </w:r>
      <w:r w:rsidR="001C491A" w:rsidRPr="00A219DB">
        <w:rPr>
          <w:rFonts w:ascii="Times New Roman"/>
          <w:lang w:val="ro-MD"/>
        </w:rPr>
        <w:t xml:space="preserve"> de anul 2019</w:t>
      </w:r>
      <w:r w:rsidR="001C491A">
        <w:rPr>
          <w:rFonts w:ascii="Times New Roman"/>
          <w:lang w:val="ro-MD"/>
        </w:rPr>
        <w:t>.</w:t>
      </w:r>
    </w:p>
    <w:p w14:paraId="478FEB50" w14:textId="162EE1AF" w:rsidR="002A7A3A" w:rsidRPr="00A219DB" w:rsidRDefault="002A7A3A" w:rsidP="00571156">
      <w:pPr>
        <w:tabs>
          <w:tab w:val="left" w:pos="567"/>
        </w:tabs>
        <w:spacing w:after="0" w:line="240" w:lineRule="auto"/>
        <w:ind w:right="-2" w:firstLine="567"/>
        <w:jc w:val="both"/>
        <w:rPr>
          <w:rFonts w:ascii="Times New Roman" w:hAnsi="Times New Roman"/>
          <w:sz w:val="24"/>
          <w:szCs w:val="24"/>
          <w:lang w:val="ro-MD"/>
        </w:rPr>
      </w:pPr>
      <w:r w:rsidRPr="00A219DB">
        <w:rPr>
          <w:rFonts w:ascii="Times New Roman" w:hAnsi="Times New Roman"/>
          <w:sz w:val="24"/>
          <w:szCs w:val="24"/>
          <w:lang w:val="ro-MD"/>
        </w:rPr>
        <w:t xml:space="preserve">Din totalul cauzelor aflate în procedură au fost  </w:t>
      </w:r>
      <w:r w:rsidRPr="00A219DB">
        <w:rPr>
          <w:rFonts w:ascii="Times New Roman" w:hAnsi="Times New Roman"/>
          <w:b/>
          <w:sz w:val="24"/>
          <w:szCs w:val="24"/>
          <w:lang w:val="ro-MD"/>
        </w:rPr>
        <w:t>soluționate</w:t>
      </w:r>
      <w:r w:rsidRPr="00A219DB">
        <w:rPr>
          <w:rFonts w:ascii="Times New Roman" w:hAnsi="Times New Roman"/>
          <w:sz w:val="24"/>
          <w:szCs w:val="24"/>
          <w:lang w:val="ro-MD"/>
        </w:rPr>
        <w:t xml:space="preserve"> –</w:t>
      </w:r>
      <w:r w:rsidRPr="00A219DB">
        <w:rPr>
          <w:rFonts w:ascii="Times New Roman" w:hAnsi="Times New Roman"/>
          <w:b/>
          <w:sz w:val="24"/>
          <w:szCs w:val="24"/>
          <w:lang w:val="ro-MD"/>
        </w:rPr>
        <w:t xml:space="preserve"> 1818 cauze</w:t>
      </w:r>
      <w:r w:rsidRPr="00A219DB">
        <w:rPr>
          <w:rFonts w:ascii="Times New Roman" w:hAnsi="Times New Roman"/>
          <w:sz w:val="24"/>
          <w:szCs w:val="24"/>
          <w:lang w:val="ro-MD"/>
        </w:rPr>
        <w:t>.</w:t>
      </w:r>
    </w:p>
    <w:p w14:paraId="7743263D" w14:textId="77777777" w:rsidR="002A7A3A" w:rsidRPr="00A219DB" w:rsidRDefault="002A7A3A" w:rsidP="00571156">
      <w:pPr>
        <w:tabs>
          <w:tab w:val="left" w:pos="567"/>
        </w:tabs>
        <w:spacing w:after="0" w:line="240" w:lineRule="auto"/>
        <w:ind w:right="-2" w:firstLine="567"/>
        <w:jc w:val="both"/>
        <w:rPr>
          <w:rFonts w:ascii="Times New Roman" w:hAnsi="Times New Roman"/>
          <w:b/>
          <w:sz w:val="24"/>
          <w:szCs w:val="24"/>
          <w:lang w:val="ro-MD"/>
        </w:rPr>
      </w:pPr>
      <w:r w:rsidRPr="00A219DB">
        <w:rPr>
          <w:rFonts w:ascii="Times New Roman" w:hAnsi="Times New Roman"/>
          <w:b/>
          <w:sz w:val="24"/>
          <w:szCs w:val="24"/>
          <w:lang w:val="ro-MD"/>
        </w:rPr>
        <w:t>Numărul cauzelor pendinte</w:t>
      </w:r>
      <w:r w:rsidRPr="00A219DB">
        <w:rPr>
          <w:rFonts w:ascii="Times New Roman" w:hAnsi="Times New Roman"/>
          <w:sz w:val="24"/>
          <w:szCs w:val="24"/>
          <w:lang w:val="ro-MD"/>
        </w:rPr>
        <w:t xml:space="preserve"> la sfârșitul perioadei raportate constituie </w:t>
      </w:r>
      <w:r w:rsidRPr="00A219DB">
        <w:rPr>
          <w:rFonts w:ascii="Times New Roman" w:hAnsi="Times New Roman"/>
          <w:b/>
          <w:sz w:val="24"/>
          <w:szCs w:val="24"/>
          <w:lang w:val="ro-MD"/>
        </w:rPr>
        <w:t>265 cauze.</w:t>
      </w:r>
    </w:p>
    <w:p w14:paraId="661EEB9E" w14:textId="77777777" w:rsidR="002A7A3A" w:rsidRPr="00A219DB" w:rsidRDefault="002A7A3A" w:rsidP="00571156">
      <w:pPr>
        <w:tabs>
          <w:tab w:val="left" w:pos="567"/>
        </w:tabs>
        <w:spacing w:after="0" w:line="240" w:lineRule="auto"/>
        <w:ind w:right="-2" w:firstLine="567"/>
        <w:jc w:val="both"/>
        <w:rPr>
          <w:rFonts w:ascii="Times New Roman" w:hAnsi="Times New Roman"/>
          <w:sz w:val="24"/>
          <w:szCs w:val="24"/>
          <w:lang w:val="ro-MD"/>
        </w:rPr>
      </w:pPr>
      <w:r w:rsidRPr="00A219DB">
        <w:rPr>
          <w:rFonts w:ascii="Times New Roman" w:hAnsi="Times New Roman"/>
          <w:b/>
          <w:sz w:val="24"/>
          <w:szCs w:val="24"/>
          <w:lang w:val="ro-MD"/>
        </w:rPr>
        <w:t>Rata de variație a stocului de cauze pendinte</w:t>
      </w:r>
      <w:r w:rsidRPr="00A219DB">
        <w:rPr>
          <w:rFonts w:ascii="Times New Roman" w:hAnsi="Times New Roman"/>
          <w:sz w:val="24"/>
          <w:szCs w:val="24"/>
          <w:lang w:val="ro-MD"/>
        </w:rPr>
        <w:t xml:space="preserve"> (raportul dintre cauzele soluționate în perioada raportată și cele noi înregistrate în perioada raportată, exprimat în procente)  constituie </w:t>
      </w:r>
      <w:r w:rsidRPr="00A219DB">
        <w:rPr>
          <w:rFonts w:ascii="Times New Roman" w:hAnsi="Times New Roman"/>
          <w:b/>
          <w:sz w:val="24"/>
          <w:szCs w:val="24"/>
          <w:lang w:val="ro-MD"/>
        </w:rPr>
        <w:t xml:space="preserve">96,96 %. </w:t>
      </w:r>
    </w:p>
    <w:p w14:paraId="4B41F72C" w14:textId="77777777" w:rsidR="002A7A3A" w:rsidRPr="00A219DB" w:rsidRDefault="002A7A3A" w:rsidP="00571156">
      <w:pPr>
        <w:tabs>
          <w:tab w:val="left" w:pos="567"/>
        </w:tabs>
        <w:spacing w:after="0" w:line="240" w:lineRule="auto"/>
        <w:ind w:right="-2" w:firstLine="567"/>
        <w:jc w:val="both"/>
        <w:rPr>
          <w:rFonts w:ascii="Times New Roman" w:hAnsi="Times New Roman"/>
          <w:sz w:val="24"/>
          <w:szCs w:val="24"/>
          <w:lang w:val="ro-MD"/>
        </w:rPr>
      </w:pPr>
      <w:r w:rsidRPr="00A219DB">
        <w:rPr>
          <w:rFonts w:ascii="Times New Roman" w:hAnsi="Times New Roman"/>
          <w:b/>
          <w:sz w:val="24"/>
          <w:szCs w:val="24"/>
          <w:lang w:val="ro-MD"/>
        </w:rPr>
        <w:t>Durata lichidării stocului de cauze pendinte</w:t>
      </w:r>
      <w:r w:rsidRPr="00A219DB">
        <w:rPr>
          <w:rFonts w:ascii="Times New Roman" w:hAnsi="Times New Roman"/>
          <w:sz w:val="24"/>
          <w:szCs w:val="24"/>
          <w:lang w:val="ro-MD"/>
        </w:rPr>
        <w:t xml:space="preserve"> (numărul cauzelor nesoluționate la sfârșitul perioadei raportate împărțit la numărul cauzelor soluționate în aceeași perioadă și înmulțit la numărul de zile a perioadei raportate, exprimat în zile) constituie </w:t>
      </w:r>
      <w:r w:rsidRPr="00A219DB">
        <w:rPr>
          <w:rFonts w:ascii="Times New Roman" w:hAnsi="Times New Roman"/>
          <w:b/>
          <w:sz w:val="24"/>
          <w:szCs w:val="24"/>
          <w:lang w:val="ro-MD"/>
        </w:rPr>
        <w:t xml:space="preserve">53 de zile. </w:t>
      </w:r>
    </w:p>
    <w:p w14:paraId="6B770E58" w14:textId="43B7D50E" w:rsidR="002A7A3A" w:rsidRPr="00571156" w:rsidRDefault="002A7A3A" w:rsidP="00571156">
      <w:pPr>
        <w:tabs>
          <w:tab w:val="left" w:pos="567"/>
        </w:tabs>
        <w:spacing w:after="0" w:line="240" w:lineRule="auto"/>
        <w:ind w:right="-2" w:firstLine="567"/>
        <w:jc w:val="both"/>
        <w:rPr>
          <w:rFonts w:ascii="Times New Roman" w:hAnsi="Times New Roman"/>
          <w:b/>
          <w:sz w:val="24"/>
          <w:szCs w:val="24"/>
          <w:lang w:val="ro-MD"/>
        </w:rPr>
      </w:pPr>
      <w:r w:rsidRPr="00A219DB">
        <w:rPr>
          <w:rFonts w:ascii="Times New Roman" w:hAnsi="Times New Roman"/>
          <w:b/>
          <w:sz w:val="24"/>
          <w:szCs w:val="24"/>
          <w:lang w:val="ro-MD"/>
        </w:rPr>
        <w:t>Numărul de cauze examinate de un judecător</w:t>
      </w:r>
      <w:r w:rsidRPr="00A219DB">
        <w:rPr>
          <w:rFonts w:ascii="Times New Roman" w:hAnsi="Times New Roman"/>
          <w:sz w:val="24"/>
          <w:szCs w:val="24"/>
          <w:lang w:val="ro-MD"/>
        </w:rPr>
        <w:t xml:space="preserve">. La Curtea de Apel Cahul în perioada 12 luni a anului 2020 un judecător în mediu a examinat  </w:t>
      </w:r>
      <w:r w:rsidRPr="00A219DB">
        <w:rPr>
          <w:rFonts w:ascii="Times New Roman" w:hAnsi="Times New Roman"/>
          <w:b/>
          <w:sz w:val="24"/>
          <w:szCs w:val="24"/>
          <w:lang w:val="ro-MD"/>
        </w:rPr>
        <w:t xml:space="preserve">202 cauze. </w:t>
      </w:r>
    </w:p>
    <w:p w14:paraId="43C141D8" w14:textId="77777777" w:rsidR="002A7A3A" w:rsidRPr="00A219DB" w:rsidRDefault="002A7A3A" w:rsidP="00347C4C">
      <w:pPr>
        <w:pStyle w:val="a7"/>
      </w:pPr>
      <w:r w:rsidRPr="00A219DB">
        <w:t>Datele detaliate privind volumul de activitate pentru perioada anului 2020 a Curții de Apel Cahul sunt reflectate în tabelul de mai jos.</w:t>
      </w:r>
    </w:p>
    <w:p w14:paraId="6807DA53" w14:textId="77777777" w:rsidR="002A7A3A" w:rsidRPr="00A219DB" w:rsidRDefault="002A7A3A" w:rsidP="002A7A3A">
      <w:pPr>
        <w:pStyle w:val="a4"/>
        <w:spacing w:after="0"/>
        <w:ind w:right="567"/>
        <w:jc w:val="both"/>
        <w:rPr>
          <w:rFonts w:ascii="Times New Roman" w:hAnsi="Times New Roman"/>
          <w:sz w:val="22"/>
          <w:szCs w:val="22"/>
          <w:lang w:val="ro-MD" w:eastAsia="en-US"/>
        </w:rPr>
      </w:pPr>
    </w:p>
    <w:p w14:paraId="104FA0B6" w14:textId="77777777" w:rsidR="002A7A3A" w:rsidRPr="00335C03" w:rsidRDefault="002A7A3A" w:rsidP="002A7A3A">
      <w:pPr>
        <w:spacing w:after="0" w:line="240" w:lineRule="auto"/>
        <w:ind w:left="850" w:right="567" w:firstLine="720"/>
        <w:contextualSpacing/>
        <w:rPr>
          <w:rFonts w:ascii="Times New Roman" w:hAnsi="Times New Roman"/>
          <w:b/>
          <w:bCs/>
          <w:sz w:val="24"/>
          <w:szCs w:val="24"/>
          <w:lang w:val="ro-MD"/>
        </w:rPr>
      </w:pPr>
      <w:r w:rsidRPr="00335C03">
        <w:rPr>
          <w:rFonts w:ascii="Times New Roman" w:hAnsi="Times New Roman"/>
          <w:b/>
          <w:bCs/>
          <w:sz w:val="24"/>
          <w:szCs w:val="24"/>
          <w:lang w:val="ro-MD"/>
        </w:rPr>
        <w:t xml:space="preserve">Tabelul nr.1 Fluxul cauzelor și principalii indicatori de performanță </w:t>
      </w:r>
      <w:r w:rsidRPr="00335C03">
        <w:rPr>
          <w:rFonts w:ascii="Calibri" w:hAnsi="Calibri" w:cs="Calibri"/>
          <w:b/>
          <w:bCs/>
          <w:sz w:val="24"/>
          <w:szCs w:val="24"/>
          <w:lang w:val="ro-MD"/>
        </w:rPr>
        <w:t>î</w:t>
      </w:r>
      <w:r w:rsidRPr="00335C03">
        <w:rPr>
          <w:rFonts w:ascii="Times New Roman" w:hAnsi="Times New Roman"/>
          <w:b/>
          <w:bCs/>
          <w:sz w:val="24"/>
          <w:szCs w:val="24"/>
          <w:lang w:val="ro-MD"/>
        </w:rPr>
        <w:t>n anul 2020</w:t>
      </w:r>
    </w:p>
    <w:tbl>
      <w:tblPr>
        <w:tblW w:w="11063" w:type="dxa"/>
        <w:tblInd w:w="-572" w:type="dxa"/>
        <w:tblLayout w:type="fixed"/>
        <w:tblLook w:val="04A0" w:firstRow="1" w:lastRow="0" w:firstColumn="1" w:lastColumn="0" w:noHBand="0" w:noVBand="1"/>
      </w:tblPr>
      <w:tblGrid>
        <w:gridCol w:w="1843"/>
        <w:gridCol w:w="782"/>
        <w:gridCol w:w="781"/>
        <w:gridCol w:w="782"/>
        <w:gridCol w:w="912"/>
        <w:gridCol w:w="1043"/>
        <w:gridCol w:w="912"/>
        <w:gridCol w:w="1044"/>
        <w:gridCol w:w="781"/>
        <w:gridCol w:w="1043"/>
        <w:gridCol w:w="1140"/>
      </w:tblGrid>
      <w:tr w:rsidR="002A7A3A" w:rsidRPr="00A219DB" w14:paraId="2EDDC97F" w14:textId="77777777" w:rsidTr="002A7A3A">
        <w:trPr>
          <w:trHeight w:val="1951"/>
        </w:trPr>
        <w:tc>
          <w:tcPr>
            <w:tcW w:w="1843" w:type="dxa"/>
            <w:tcBorders>
              <w:top w:val="single" w:sz="4" w:space="0" w:color="auto"/>
              <w:left w:val="single" w:sz="4" w:space="0" w:color="auto"/>
              <w:bottom w:val="single" w:sz="4" w:space="0" w:color="auto"/>
              <w:right w:val="single" w:sz="4" w:space="0" w:color="auto"/>
            </w:tcBorders>
            <w:shd w:val="clear" w:color="000000" w:fill="339966"/>
            <w:hideMark/>
          </w:tcPr>
          <w:p w14:paraId="59D51193" w14:textId="77777777" w:rsidR="002A7A3A" w:rsidRPr="00A219DB" w:rsidRDefault="002A7A3A" w:rsidP="002D569B">
            <w:pPr>
              <w:spacing w:after="0" w:line="240" w:lineRule="auto"/>
              <w:jc w:val="center"/>
              <w:rPr>
                <w:rFonts w:ascii="Times New Roman" w:hAnsi="Times New Roman"/>
                <w:b/>
                <w:bCs/>
                <w:sz w:val="20"/>
                <w:szCs w:val="20"/>
                <w:lang w:val="ro-MD" w:eastAsia="ru-RU"/>
              </w:rPr>
            </w:pPr>
            <w:r w:rsidRPr="00A219DB">
              <w:rPr>
                <w:rFonts w:ascii="Times New Roman" w:hAnsi="Times New Roman"/>
                <w:b/>
                <w:bCs/>
                <w:sz w:val="20"/>
                <w:szCs w:val="20"/>
                <w:lang w:val="ro-MD" w:eastAsia="ru-RU"/>
              </w:rPr>
              <w:t>2020</w:t>
            </w:r>
          </w:p>
          <w:p w14:paraId="5E101BBA" w14:textId="77777777" w:rsidR="002A7A3A" w:rsidRPr="00A219DB" w:rsidRDefault="002A7A3A" w:rsidP="002D569B">
            <w:pPr>
              <w:spacing w:after="0" w:line="240" w:lineRule="auto"/>
              <w:jc w:val="center"/>
              <w:rPr>
                <w:rFonts w:ascii="Times New Roman" w:hAnsi="Times New Roman"/>
                <w:b/>
                <w:bCs/>
                <w:sz w:val="20"/>
                <w:szCs w:val="20"/>
                <w:lang w:val="ro-MD" w:eastAsia="ru-RU"/>
              </w:rPr>
            </w:pPr>
          </w:p>
        </w:tc>
        <w:tc>
          <w:tcPr>
            <w:tcW w:w="782" w:type="dxa"/>
            <w:tcBorders>
              <w:top w:val="single" w:sz="4" w:space="0" w:color="auto"/>
              <w:left w:val="nil"/>
              <w:bottom w:val="single" w:sz="4" w:space="0" w:color="auto"/>
              <w:right w:val="single" w:sz="4" w:space="0" w:color="auto"/>
            </w:tcBorders>
            <w:hideMark/>
          </w:tcPr>
          <w:p w14:paraId="2B049AEB" w14:textId="77777777" w:rsidR="002A7A3A" w:rsidRPr="00A219DB" w:rsidRDefault="002A7A3A" w:rsidP="002D569B">
            <w:pPr>
              <w:spacing w:after="0" w:line="240" w:lineRule="auto"/>
              <w:jc w:val="right"/>
              <w:rPr>
                <w:rFonts w:ascii="Times New Roman" w:hAnsi="Times New Roman"/>
                <w:sz w:val="18"/>
                <w:szCs w:val="18"/>
                <w:lang w:val="ro-MD" w:eastAsia="ru-RU"/>
              </w:rPr>
            </w:pPr>
            <w:r w:rsidRPr="00A219DB">
              <w:rPr>
                <w:rFonts w:ascii="Times New Roman" w:hAnsi="Times New Roman"/>
                <w:sz w:val="18"/>
                <w:szCs w:val="18"/>
                <w:lang w:val="ro-MD" w:eastAsia="ru-RU"/>
              </w:rPr>
              <w:t>I. Cauze pendinte la 1 ianuarie</w:t>
            </w:r>
          </w:p>
        </w:tc>
        <w:tc>
          <w:tcPr>
            <w:tcW w:w="781" w:type="dxa"/>
            <w:tcBorders>
              <w:top w:val="single" w:sz="4" w:space="0" w:color="auto"/>
              <w:left w:val="nil"/>
              <w:bottom w:val="single" w:sz="4" w:space="0" w:color="auto"/>
              <w:right w:val="single" w:sz="4" w:space="0" w:color="auto"/>
            </w:tcBorders>
            <w:hideMark/>
          </w:tcPr>
          <w:p w14:paraId="6AB7F5DF" w14:textId="77777777" w:rsidR="002A7A3A" w:rsidRPr="00A219DB" w:rsidRDefault="002A7A3A" w:rsidP="002D569B">
            <w:pPr>
              <w:spacing w:after="0" w:line="240" w:lineRule="auto"/>
              <w:jc w:val="right"/>
              <w:rPr>
                <w:rFonts w:ascii="Times New Roman" w:hAnsi="Times New Roman"/>
                <w:sz w:val="18"/>
                <w:szCs w:val="18"/>
                <w:lang w:val="ro-MD" w:eastAsia="ru-RU"/>
              </w:rPr>
            </w:pPr>
            <w:r w:rsidRPr="00A219DB">
              <w:rPr>
                <w:rFonts w:ascii="Times New Roman" w:hAnsi="Times New Roman"/>
                <w:sz w:val="18"/>
                <w:szCs w:val="18"/>
                <w:lang w:val="ro-MD" w:eastAsia="ru-RU"/>
              </w:rPr>
              <w:t>II. Cauze noi înregistrate pe parcursul anului</w:t>
            </w:r>
          </w:p>
        </w:tc>
        <w:tc>
          <w:tcPr>
            <w:tcW w:w="782" w:type="dxa"/>
            <w:tcBorders>
              <w:top w:val="single" w:sz="4" w:space="0" w:color="auto"/>
              <w:left w:val="nil"/>
              <w:bottom w:val="single" w:sz="4" w:space="0" w:color="auto"/>
              <w:right w:val="single" w:sz="4" w:space="0" w:color="auto"/>
            </w:tcBorders>
            <w:hideMark/>
          </w:tcPr>
          <w:p w14:paraId="2E60574F" w14:textId="77777777" w:rsidR="002A7A3A" w:rsidRPr="00A219DB" w:rsidRDefault="002A7A3A" w:rsidP="002D569B">
            <w:pPr>
              <w:spacing w:after="0" w:line="240" w:lineRule="auto"/>
              <w:jc w:val="right"/>
              <w:rPr>
                <w:rFonts w:ascii="Times New Roman" w:hAnsi="Times New Roman"/>
                <w:sz w:val="18"/>
                <w:szCs w:val="18"/>
                <w:lang w:val="ro-MD" w:eastAsia="ru-RU"/>
              </w:rPr>
            </w:pPr>
            <w:r w:rsidRPr="00A219DB">
              <w:rPr>
                <w:rFonts w:ascii="Times New Roman" w:hAnsi="Times New Roman"/>
                <w:sz w:val="18"/>
                <w:szCs w:val="18"/>
                <w:lang w:val="ro-MD" w:eastAsia="ru-RU"/>
              </w:rPr>
              <w:t>III. Cauze soluționate pe parcursul anului</w:t>
            </w:r>
          </w:p>
        </w:tc>
        <w:tc>
          <w:tcPr>
            <w:tcW w:w="912" w:type="dxa"/>
            <w:tcBorders>
              <w:top w:val="single" w:sz="4" w:space="0" w:color="auto"/>
              <w:left w:val="nil"/>
              <w:bottom w:val="single" w:sz="4" w:space="0" w:color="auto"/>
              <w:right w:val="single" w:sz="4" w:space="0" w:color="auto"/>
            </w:tcBorders>
            <w:hideMark/>
          </w:tcPr>
          <w:p w14:paraId="41024FBC" w14:textId="77777777" w:rsidR="002A7A3A" w:rsidRPr="00A219DB" w:rsidRDefault="002A7A3A" w:rsidP="002D569B">
            <w:pPr>
              <w:spacing w:after="0" w:line="240" w:lineRule="auto"/>
              <w:jc w:val="right"/>
              <w:rPr>
                <w:rFonts w:ascii="Times New Roman" w:hAnsi="Times New Roman"/>
                <w:sz w:val="18"/>
                <w:szCs w:val="18"/>
                <w:lang w:val="ro-MD" w:eastAsia="ru-RU"/>
              </w:rPr>
            </w:pPr>
            <w:r w:rsidRPr="00A219DB">
              <w:rPr>
                <w:rFonts w:ascii="Times New Roman" w:hAnsi="Times New Roman"/>
                <w:sz w:val="18"/>
                <w:szCs w:val="18"/>
                <w:lang w:val="ro-MD" w:eastAsia="ru-RU"/>
              </w:rPr>
              <w:t>IV. Cauze pendinte la 31 decembrie</w:t>
            </w:r>
          </w:p>
        </w:tc>
        <w:tc>
          <w:tcPr>
            <w:tcW w:w="1043" w:type="dxa"/>
            <w:tcBorders>
              <w:top w:val="single" w:sz="4" w:space="0" w:color="auto"/>
              <w:left w:val="nil"/>
              <w:bottom w:val="single" w:sz="4" w:space="0" w:color="auto"/>
              <w:right w:val="single" w:sz="4" w:space="0" w:color="auto"/>
            </w:tcBorders>
            <w:hideMark/>
          </w:tcPr>
          <w:p w14:paraId="10B9B791" w14:textId="77777777" w:rsidR="002A7A3A" w:rsidRPr="00A219DB" w:rsidRDefault="002A7A3A" w:rsidP="002D569B">
            <w:pPr>
              <w:spacing w:after="0" w:line="240" w:lineRule="auto"/>
              <w:rPr>
                <w:rFonts w:ascii="Times New Roman" w:hAnsi="Times New Roman"/>
                <w:sz w:val="18"/>
                <w:szCs w:val="18"/>
                <w:lang w:val="ro-MD" w:eastAsia="ru-RU"/>
              </w:rPr>
            </w:pPr>
            <w:r w:rsidRPr="00A219DB">
              <w:rPr>
                <w:rFonts w:ascii="Times New Roman" w:hAnsi="Times New Roman"/>
                <w:sz w:val="18"/>
                <w:szCs w:val="18"/>
                <w:lang w:val="ro-MD" w:eastAsia="ru-RU"/>
              </w:rPr>
              <w:t>V. Deciziile atacate cu apel/recurs</w:t>
            </w:r>
          </w:p>
        </w:tc>
        <w:tc>
          <w:tcPr>
            <w:tcW w:w="912" w:type="dxa"/>
            <w:tcBorders>
              <w:top w:val="single" w:sz="4" w:space="0" w:color="auto"/>
              <w:left w:val="nil"/>
              <w:bottom w:val="single" w:sz="4" w:space="0" w:color="auto"/>
              <w:right w:val="single" w:sz="4" w:space="0" w:color="auto"/>
            </w:tcBorders>
            <w:hideMark/>
          </w:tcPr>
          <w:p w14:paraId="3FC3E81A" w14:textId="77777777" w:rsidR="002A7A3A" w:rsidRPr="00A219DB" w:rsidRDefault="002A7A3A" w:rsidP="002D569B">
            <w:pPr>
              <w:spacing w:after="0" w:line="240" w:lineRule="auto"/>
              <w:jc w:val="right"/>
              <w:rPr>
                <w:rFonts w:ascii="Times New Roman" w:hAnsi="Times New Roman"/>
                <w:sz w:val="18"/>
                <w:szCs w:val="18"/>
                <w:lang w:val="ro-MD" w:eastAsia="ru-RU"/>
              </w:rPr>
            </w:pPr>
            <w:r w:rsidRPr="00A219DB">
              <w:rPr>
                <w:rFonts w:ascii="Times New Roman" w:hAnsi="Times New Roman"/>
                <w:sz w:val="18"/>
                <w:szCs w:val="18"/>
                <w:lang w:val="ro-MD" w:eastAsia="ru-RU"/>
              </w:rPr>
              <w:t>VI. Deciziile modificate sau anulate de instanța de apel /recurs</w:t>
            </w:r>
          </w:p>
        </w:tc>
        <w:tc>
          <w:tcPr>
            <w:tcW w:w="1044" w:type="dxa"/>
            <w:tcBorders>
              <w:top w:val="single" w:sz="4" w:space="0" w:color="auto"/>
              <w:left w:val="nil"/>
              <w:bottom w:val="single" w:sz="4" w:space="0" w:color="auto"/>
              <w:right w:val="single" w:sz="4" w:space="0" w:color="auto"/>
            </w:tcBorders>
            <w:hideMark/>
          </w:tcPr>
          <w:p w14:paraId="59AC10A6" w14:textId="77777777" w:rsidR="002A7A3A" w:rsidRPr="00A219DB" w:rsidRDefault="002A7A3A" w:rsidP="002D569B">
            <w:pPr>
              <w:spacing w:after="0" w:line="240" w:lineRule="auto"/>
              <w:jc w:val="right"/>
              <w:rPr>
                <w:rFonts w:ascii="Times New Roman" w:hAnsi="Times New Roman"/>
                <w:sz w:val="18"/>
                <w:szCs w:val="18"/>
                <w:lang w:val="ro-MD" w:eastAsia="ru-RU"/>
              </w:rPr>
            </w:pPr>
            <w:r w:rsidRPr="00A219DB">
              <w:rPr>
                <w:rFonts w:ascii="Times New Roman" w:hAnsi="Times New Roman"/>
                <w:sz w:val="18"/>
                <w:szCs w:val="18"/>
                <w:lang w:val="ro-MD" w:eastAsia="ru-RU"/>
              </w:rPr>
              <w:t>VII. Rata de variație a stocului de cauze pendinte</w:t>
            </w:r>
          </w:p>
        </w:tc>
        <w:tc>
          <w:tcPr>
            <w:tcW w:w="781" w:type="dxa"/>
            <w:tcBorders>
              <w:top w:val="single" w:sz="4" w:space="0" w:color="auto"/>
              <w:left w:val="nil"/>
              <w:bottom w:val="single" w:sz="4" w:space="0" w:color="auto"/>
              <w:right w:val="single" w:sz="4" w:space="0" w:color="auto"/>
            </w:tcBorders>
            <w:hideMark/>
          </w:tcPr>
          <w:p w14:paraId="39079D07" w14:textId="77777777" w:rsidR="002A7A3A" w:rsidRPr="00A219DB" w:rsidRDefault="002A7A3A" w:rsidP="002D569B">
            <w:pPr>
              <w:spacing w:after="0" w:line="240" w:lineRule="auto"/>
              <w:jc w:val="right"/>
              <w:rPr>
                <w:rFonts w:ascii="Times New Roman" w:hAnsi="Times New Roman"/>
                <w:sz w:val="18"/>
                <w:szCs w:val="18"/>
                <w:lang w:val="ro-MD" w:eastAsia="ru-RU"/>
              </w:rPr>
            </w:pPr>
            <w:r w:rsidRPr="00A219DB">
              <w:rPr>
                <w:rFonts w:ascii="Times New Roman" w:hAnsi="Times New Roman"/>
                <w:sz w:val="18"/>
                <w:szCs w:val="18"/>
                <w:lang w:val="ro-MD" w:eastAsia="ru-RU"/>
              </w:rPr>
              <w:t>VIII. Durata lichidării stocului de cauze pendinte</w:t>
            </w:r>
          </w:p>
        </w:tc>
        <w:tc>
          <w:tcPr>
            <w:tcW w:w="1043" w:type="dxa"/>
            <w:tcBorders>
              <w:top w:val="single" w:sz="4" w:space="0" w:color="auto"/>
              <w:left w:val="nil"/>
              <w:bottom w:val="single" w:sz="4" w:space="0" w:color="auto"/>
              <w:right w:val="single" w:sz="4" w:space="0" w:color="auto"/>
            </w:tcBorders>
            <w:hideMark/>
          </w:tcPr>
          <w:p w14:paraId="741FDE85" w14:textId="77777777" w:rsidR="002A7A3A" w:rsidRPr="00A219DB" w:rsidRDefault="002A7A3A" w:rsidP="002D569B">
            <w:pPr>
              <w:spacing w:after="0" w:line="240" w:lineRule="auto"/>
              <w:jc w:val="right"/>
              <w:rPr>
                <w:rFonts w:ascii="Times New Roman" w:hAnsi="Times New Roman"/>
                <w:sz w:val="18"/>
                <w:szCs w:val="18"/>
                <w:lang w:val="ro-MD" w:eastAsia="ru-RU"/>
              </w:rPr>
            </w:pPr>
            <w:r w:rsidRPr="00A219DB">
              <w:rPr>
                <w:rFonts w:ascii="Times New Roman" w:hAnsi="Times New Roman"/>
                <w:sz w:val="18"/>
                <w:szCs w:val="18"/>
                <w:lang w:val="ro-MD" w:eastAsia="ru-RU"/>
              </w:rPr>
              <w:t>IX. Rata deciziilor atacate cu apel/recurs</w:t>
            </w:r>
          </w:p>
        </w:tc>
        <w:tc>
          <w:tcPr>
            <w:tcW w:w="1140" w:type="dxa"/>
            <w:tcBorders>
              <w:top w:val="single" w:sz="4" w:space="0" w:color="auto"/>
              <w:left w:val="nil"/>
              <w:bottom w:val="single" w:sz="4" w:space="0" w:color="auto"/>
              <w:right w:val="single" w:sz="4" w:space="0" w:color="auto"/>
            </w:tcBorders>
            <w:hideMark/>
          </w:tcPr>
          <w:p w14:paraId="05A89160" w14:textId="77777777" w:rsidR="002A7A3A" w:rsidRPr="00A219DB" w:rsidRDefault="002A7A3A" w:rsidP="002D569B">
            <w:pPr>
              <w:spacing w:after="0" w:line="240" w:lineRule="auto"/>
              <w:jc w:val="right"/>
              <w:rPr>
                <w:rFonts w:ascii="Times New Roman" w:hAnsi="Times New Roman"/>
                <w:sz w:val="18"/>
                <w:szCs w:val="18"/>
                <w:lang w:val="ro-MD" w:eastAsia="ru-RU"/>
              </w:rPr>
            </w:pPr>
            <w:r w:rsidRPr="00A219DB">
              <w:rPr>
                <w:rFonts w:ascii="Times New Roman" w:hAnsi="Times New Roman"/>
                <w:sz w:val="18"/>
                <w:szCs w:val="18"/>
                <w:lang w:val="ro-MD" w:eastAsia="ru-RU"/>
              </w:rPr>
              <w:t>X. Rata apelurilor reușite</w:t>
            </w:r>
          </w:p>
        </w:tc>
      </w:tr>
      <w:tr w:rsidR="002A7A3A" w:rsidRPr="00A219DB" w14:paraId="2BA36A97" w14:textId="77777777" w:rsidTr="002A7A3A">
        <w:trPr>
          <w:trHeight w:val="369"/>
        </w:trPr>
        <w:tc>
          <w:tcPr>
            <w:tcW w:w="1843" w:type="dxa"/>
            <w:tcBorders>
              <w:top w:val="nil"/>
              <w:left w:val="single" w:sz="4" w:space="0" w:color="auto"/>
              <w:bottom w:val="single" w:sz="4" w:space="0" w:color="auto"/>
              <w:right w:val="single" w:sz="4" w:space="0" w:color="auto"/>
            </w:tcBorders>
            <w:hideMark/>
          </w:tcPr>
          <w:p w14:paraId="0D87DAC4" w14:textId="77777777" w:rsidR="002A7A3A" w:rsidRPr="00A219DB" w:rsidRDefault="002A7A3A"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civile</w:t>
            </w:r>
          </w:p>
          <w:p w14:paraId="2FE04B93" w14:textId="77777777" w:rsidR="002A7A3A" w:rsidRPr="00A219DB" w:rsidRDefault="002A7A3A" w:rsidP="002D569B">
            <w:pPr>
              <w:spacing w:after="0" w:line="240" w:lineRule="auto"/>
              <w:rPr>
                <w:rFonts w:ascii="Times New Roman" w:hAnsi="Times New Roman"/>
                <w:b/>
                <w:bCs/>
                <w:lang w:val="ro-MD" w:eastAsia="ru-RU"/>
              </w:rPr>
            </w:pPr>
          </w:p>
          <w:p w14:paraId="4AC00CFC" w14:textId="77777777" w:rsidR="002A7A3A" w:rsidRPr="00A219DB" w:rsidRDefault="002A7A3A" w:rsidP="002D569B">
            <w:pPr>
              <w:pStyle w:val="a8"/>
              <w:spacing w:after="0" w:line="240" w:lineRule="auto"/>
              <w:rPr>
                <w:rFonts w:ascii="Times New Roman"/>
                <w:b/>
                <w:bCs/>
                <w:lang w:val="ro-MD" w:eastAsia="ru-RU"/>
              </w:rPr>
            </w:pPr>
          </w:p>
        </w:tc>
        <w:tc>
          <w:tcPr>
            <w:tcW w:w="782" w:type="dxa"/>
            <w:tcBorders>
              <w:top w:val="nil"/>
              <w:left w:val="nil"/>
              <w:bottom w:val="single" w:sz="4" w:space="0" w:color="auto"/>
              <w:right w:val="single" w:sz="4" w:space="0" w:color="auto"/>
            </w:tcBorders>
            <w:shd w:val="clear" w:color="000000" w:fill="FDE9D9"/>
            <w:hideMark/>
          </w:tcPr>
          <w:p w14:paraId="44BEFD6F"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50</w:t>
            </w:r>
          </w:p>
        </w:tc>
        <w:tc>
          <w:tcPr>
            <w:tcW w:w="781" w:type="dxa"/>
            <w:tcBorders>
              <w:top w:val="nil"/>
              <w:left w:val="nil"/>
              <w:bottom w:val="single" w:sz="4" w:space="0" w:color="auto"/>
              <w:right w:val="single" w:sz="4" w:space="0" w:color="auto"/>
            </w:tcBorders>
            <w:shd w:val="clear" w:color="000000" w:fill="FDE9D9"/>
            <w:hideMark/>
          </w:tcPr>
          <w:p w14:paraId="6E0D55A7"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366</w:t>
            </w:r>
          </w:p>
        </w:tc>
        <w:tc>
          <w:tcPr>
            <w:tcW w:w="782" w:type="dxa"/>
            <w:tcBorders>
              <w:top w:val="nil"/>
              <w:left w:val="nil"/>
              <w:bottom w:val="single" w:sz="4" w:space="0" w:color="auto"/>
              <w:right w:val="single" w:sz="4" w:space="0" w:color="auto"/>
            </w:tcBorders>
            <w:shd w:val="clear" w:color="000000" w:fill="FDE9D9"/>
            <w:hideMark/>
          </w:tcPr>
          <w:p w14:paraId="109BC8B4"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361</w:t>
            </w:r>
          </w:p>
        </w:tc>
        <w:tc>
          <w:tcPr>
            <w:tcW w:w="912" w:type="dxa"/>
            <w:tcBorders>
              <w:top w:val="nil"/>
              <w:left w:val="nil"/>
              <w:bottom w:val="single" w:sz="4" w:space="0" w:color="auto"/>
              <w:right w:val="single" w:sz="4" w:space="0" w:color="auto"/>
            </w:tcBorders>
            <w:shd w:val="clear" w:color="000000" w:fill="FDE9D9"/>
            <w:hideMark/>
          </w:tcPr>
          <w:p w14:paraId="436F5D8F"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55</w:t>
            </w:r>
          </w:p>
        </w:tc>
        <w:tc>
          <w:tcPr>
            <w:tcW w:w="1043" w:type="dxa"/>
            <w:tcBorders>
              <w:top w:val="nil"/>
              <w:left w:val="nil"/>
              <w:bottom w:val="single" w:sz="4" w:space="0" w:color="auto"/>
              <w:right w:val="single" w:sz="4" w:space="0" w:color="auto"/>
            </w:tcBorders>
            <w:shd w:val="clear" w:color="000000" w:fill="FDE9D9"/>
            <w:hideMark/>
          </w:tcPr>
          <w:p w14:paraId="22650B52"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55</w:t>
            </w:r>
          </w:p>
        </w:tc>
        <w:tc>
          <w:tcPr>
            <w:tcW w:w="912" w:type="dxa"/>
            <w:tcBorders>
              <w:top w:val="nil"/>
              <w:left w:val="nil"/>
              <w:bottom w:val="single" w:sz="4" w:space="0" w:color="auto"/>
              <w:right w:val="single" w:sz="4" w:space="0" w:color="auto"/>
            </w:tcBorders>
            <w:shd w:val="clear" w:color="000000" w:fill="FDE9D9"/>
            <w:hideMark/>
          </w:tcPr>
          <w:p w14:paraId="19701080"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7</w:t>
            </w:r>
          </w:p>
        </w:tc>
        <w:tc>
          <w:tcPr>
            <w:tcW w:w="1044" w:type="dxa"/>
            <w:tcBorders>
              <w:top w:val="single" w:sz="4" w:space="0" w:color="auto"/>
              <w:left w:val="single" w:sz="4" w:space="0" w:color="auto"/>
              <w:bottom w:val="single" w:sz="4" w:space="0" w:color="auto"/>
              <w:right w:val="single" w:sz="4" w:space="0" w:color="auto"/>
            </w:tcBorders>
            <w:shd w:val="clear" w:color="000000" w:fill="FFFF00"/>
            <w:noWrap/>
            <w:hideMark/>
          </w:tcPr>
          <w:p w14:paraId="7B35AB74"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98,6%</w:t>
            </w:r>
          </w:p>
        </w:tc>
        <w:tc>
          <w:tcPr>
            <w:tcW w:w="781" w:type="dxa"/>
            <w:tcBorders>
              <w:top w:val="single" w:sz="4" w:space="0" w:color="auto"/>
              <w:left w:val="single" w:sz="4" w:space="0" w:color="auto"/>
              <w:bottom w:val="single" w:sz="4" w:space="0" w:color="auto"/>
              <w:right w:val="single" w:sz="4" w:space="0" w:color="auto"/>
            </w:tcBorders>
            <w:shd w:val="clear" w:color="000000" w:fill="92D050"/>
            <w:noWrap/>
            <w:hideMark/>
          </w:tcPr>
          <w:p w14:paraId="54FF80BE"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56</w:t>
            </w:r>
          </w:p>
        </w:tc>
        <w:tc>
          <w:tcPr>
            <w:tcW w:w="1043" w:type="dxa"/>
            <w:tcBorders>
              <w:top w:val="nil"/>
              <w:left w:val="nil"/>
              <w:bottom w:val="single" w:sz="4" w:space="0" w:color="auto"/>
              <w:right w:val="single" w:sz="4" w:space="0" w:color="auto"/>
            </w:tcBorders>
            <w:shd w:val="clear" w:color="000000" w:fill="FFFFFF"/>
            <w:noWrap/>
            <w:hideMark/>
          </w:tcPr>
          <w:p w14:paraId="68FADFBF"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15,2%</w:t>
            </w:r>
          </w:p>
        </w:tc>
        <w:tc>
          <w:tcPr>
            <w:tcW w:w="1140" w:type="dxa"/>
            <w:tcBorders>
              <w:top w:val="nil"/>
              <w:left w:val="nil"/>
              <w:bottom w:val="single" w:sz="4" w:space="0" w:color="auto"/>
              <w:right w:val="single" w:sz="4" w:space="0" w:color="auto"/>
            </w:tcBorders>
            <w:shd w:val="clear" w:color="000000" w:fill="FFFFFF"/>
            <w:noWrap/>
            <w:hideMark/>
          </w:tcPr>
          <w:p w14:paraId="7B66A3B6"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1,9%</w:t>
            </w:r>
          </w:p>
        </w:tc>
      </w:tr>
      <w:tr w:rsidR="002A7A3A" w:rsidRPr="00A219DB" w14:paraId="61D3B7B1" w14:textId="77777777" w:rsidTr="002A7A3A">
        <w:trPr>
          <w:trHeight w:val="369"/>
        </w:trPr>
        <w:tc>
          <w:tcPr>
            <w:tcW w:w="1843" w:type="dxa"/>
            <w:tcBorders>
              <w:top w:val="nil"/>
              <w:left w:val="single" w:sz="4" w:space="0" w:color="auto"/>
              <w:bottom w:val="single" w:sz="4" w:space="0" w:color="auto"/>
              <w:right w:val="single" w:sz="4" w:space="0" w:color="auto"/>
            </w:tcBorders>
            <w:shd w:val="clear" w:color="000000" w:fill="FFFFFF"/>
            <w:hideMark/>
          </w:tcPr>
          <w:p w14:paraId="373CE4DE" w14:textId="77777777" w:rsidR="002A7A3A" w:rsidRPr="00A219DB" w:rsidRDefault="002A7A3A"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comerciale</w:t>
            </w:r>
          </w:p>
          <w:p w14:paraId="3624F376" w14:textId="77777777" w:rsidR="002A7A3A" w:rsidRPr="00A219DB" w:rsidRDefault="002A7A3A" w:rsidP="002D569B">
            <w:pPr>
              <w:pStyle w:val="a8"/>
              <w:spacing w:after="0" w:line="240" w:lineRule="auto"/>
              <w:rPr>
                <w:rFonts w:ascii="Times New Roman"/>
                <w:b/>
                <w:bCs/>
                <w:lang w:val="ro-MD" w:eastAsia="ru-RU"/>
              </w:rPr>
            </w:pPr>
          </w:p>
        </w:tc>
        <w:tc>
          <w:tcPr>
            <w:tcW w:w="782" w:type="dxa"/>
            <w:tcBorders>
              <w:top w:val="nil"/>
              <w:left w:val="nil"/>
              <w:bottom w:val="single" w:sz="4" w:space="0" w:color="auto"/>
              <w:right w:val="single" w:sz="4" w:space="0" w:color="auto"/>
            </w:tcBorders>
            <w:shd w:val="clear" w:color="000000" w:fill="FDE9D9"/>
            <w:hideMark/>
          </w:tcPr>
          <w:p w14:paraId="429CD567"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10</w:t>
            </w:r>
          </w:p>
        </w:tc>
        <w:tc>
          <w:tcPr>
            <w:tcW w:w="781" w:type="dxa"/>
            <w:tcBorders>
              <w:top w:val="nil"/>
              <w:left w:val="nil"/>
              <w:bottom w:val="single" w:sz="4" w:space="0" w:color="auto"/>
              <w:right w:val="single" w:sz="4" w:space="0" w:color="auto"/>
            </w:tcBorders>
            <w:shd w:val="clear" w:color="000000" w:fill="FDE9D9"/>
            <w:hideMark/>
          </w:tcPr>
          <w:p w14:paraId="15B39A9A"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51</w:t>
            </w:r>
          </w:p>
        </w:tc>
        <w:tc>
          <w:tcPr>
            <w:tcW w:w="782" w:type="dxa"/>
            <w:tcBorders>
              <w:top w:val="nil"/>
              <w:left w:val="nil"/>
              <w:bottom w:val="single" w:sz="4" w:space="0" w:color="auto"/>
              <w:right w:val="single" w:sz="4" w:space="0" w:color="auto"/>
            </w:tcBorders>
            <w:shd w:val="clear" w:color="000000" w:fill="FDE9D9"/>
            <w:hideMark/>
          </w:tcPr>
          <w:p w14:paraId="263EB2AE"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49</w:t>
            </w:r>
          </w:p>
        </w:tc>
        <w:tc>
          <w:tcPr>
            <w:tcW w:w="912" w:type="dxa"/>
            <w:tcBorders>
              <w:top w:val="nil"/>
              <w:left w:val="nil"/>
              <w:bottom w:val="single" w:sz="4" w:space="0" w:color="auto"/>
              <w:right w:val="single" w:sz="4" w:space="0" w:color="auto"/>
            </w:tcBorders>
            <w:shd w:val="clear" w:color="000000" w:fill="FDE9D9"/>
            <w:hideMark/>
          </w:tcPr>
          <w:p w14:paraId="4E59818C"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12</w:t>
            </w:r>
          </w:p>
        </w:tc>
        <w:tc>
          <w:tcPr>
            <w:tcW w:w="1043" w:type="dxa"/>
            <w:tcBorders>
              <w:top w:val="nil"/>
              <w:left w:val="nil"/>
              <w:bottom w:val="single" w:sz="4" w:space="0" w:color="auto"/>
              <w:right w:val="single" w:sz="4" w:space="0" w:color="auto"/>
            </w:tcBorders>
            <w:shd w:val="clear" w:color="000000" w:fill="FDE9D9"/>
            <w:hideMark/>
          </w:tcPr>
          <w:p w14:paraId="5ACBA482"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5</w:t>
            </w:r>
          </w:p>
        </w:tc>
        <w:tc>
          <w:tcPr>
            <w:tcW w:w="912" w:type="dxa"/>
            <w:tcBorders>
              <w:top w:val="nil"/>
              <w:left w:val="nil"/>
              <w:bottom w:val="single" w:sz="4" w:space="0" w:color="auto"/>
              <w:right w:val="single" w:sz="4" w:space="0" w:color="auto"/>
            </w:tcBorders>
            <w:shd w:val="clear" w:color="000000" w:fill="FDE9D9"/>
            <w:hideMark/>
          </w:tcPr>
          <w:p w14:paraId="51730876"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w:t>
            </w:r>
          </w:p>
        </w:tc>
        <w:tc>
          <w:tcPr>
            <w:tcW w:w="1044" w:type="dxa"/>
            <w:tcBorders>
              <w:top w:val="single" w:sz="4" w:space="0" w:color="auto"/>
              <w:left w:val="single" w:sz="4" w:space="0" w:color="auto"/>
              <w:bottom w:val="single" w:sz="4" w:space="0" w:color="auto"/>
              <w:right w:val="single" w:sz="4" w:space="0" w:color="auto"/>
            </w:tcBorders>
            <w:shd w:val="clear" w:color="000000" w:fill="FFFF00"/>
            <w:noWrap/>
            <w:hideMark/>
          </w:tcPr>
          <w:p w14:paraId="45186CA9"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96,1%</w:t>
            </w:r>
          </w:p>
        </w:tc>
        <w:tc>
          <w:tcPr>
            <w:tcW w:w="781" w:type="dxa"/>
            <w:tcBorders>
              <w:top w:val="single" w:sz="4" w:space="0" w:color="auto"/>
              <w:left w:val="single" w:sz="4" w:space="0" w:color="auto"/>
              <w:bottom w:val="single" w:sz="4" w:space="0" w:color="auto"/>
              <w:right w:val="single" w:sz="4" w:space="0" w:color="auto"/>
            </w:tcBorders>
            <w:shd w:val="clear" w:color="000000" w:fill="92D050"/>
            <w:noWrap/>
            <w:hideMark/>
          </w:tcPr>
          <w:p w14:paraId="550D6869"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89</w:t>
            </w:r>
          </w:p>
        </w:tc>
        <w:tc>
          <w:tcPr>
            <w:tcW w:w="1043" w:type="dxa"/>
            <w:tcBorders>
              <w:top w:val="nil"/>
              <w:left w:val="nil"/>
              <w:bottom w:val="single" w:sz="4" w:space="0" w:color="auto"/>
              <w:right w:val="single" w:sz="4" w:space="0" w:color="auto"/>
            </w:tcBorders>
            <w:shd w:val="clear" w:color="000000" w:fill="FFFFFF"/>
            <w:noWrap/>
            <w:hideMark/>
          </w:tcPr>
          <w:p w14:paraId="7E6B55E3"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10,2%</w:t>
            </w:r>
          </w:p>
        </w:tc>
        <w:tc>
          <w:tcPr>
            <w:tcW w:w="1140" w:type="dxa"/>
            <w:tcBorders>
              <w:top w:val="nil"/>
              <w:left w:val="nil"/>
              <w:bottom w:val="single" w:sz="4" w:space="0" w:color="auto"/>
              <w:right w:val="single" w:sz="4" w:space="0" w:color="auto"/>
            </w:tcBorders>
            <w:shd w:val="clear" w:color="000000" w:fill="FFFFFF"/>
            <w:noWrap/>
            <w:hideMark/>
          </w:tcPr>
          <w:p w14:paraId="76CAEC2F"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2,0%</w:t>
            </w:r>
          </w:p>
        </w:tc>
      </w:tr>
      <w:tr w:rsidR="002A7A3A" w:rsidRPr="00A219DB" w14:paraId="7B95A7DA" w14:textId="77777777" w:rsidTr="002A7A3A">
        <w:trPr>
          <w:trHeight w:val="369"/>
        </w:trPr>
        <w:tc>
          <w:tcPr>
            <w:tcW w:w="1843" w:type="dxa"/>
            <w:tcBorders>
              <w:top w:val="nil"/>
              <w:left w:val="single" w:sz="4" w:space="0" w:color="auto"/>
              <w:bottom w:val="single" w:sz="4" w:space="0" w:color="auto"/>
              <w:right w:val="single" w:sz="4" w:space="0" w:color="auto"/>
            </w:tcBorders>
            <w:hideMark/>
          </w:tcPr>
          <w:p w14:paraId="123ADB71" w14:textId="77777777" w:rsidR="002A7A3A" w:rsidRPr="00A219DB" w:rsidRDefault="002A7A3A"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insolvabilitate</w:t>
            </w:r>
          </w:p>
          <w:p w14:paraId="7701453B" w14:textId="77777777" w:rsidR="002A7A3A" w:rsidRPr="00A219DB" w:rsidRDefault="002A7A3A" w:rsidP="002D569B">
            <w:pPr>
              <w:pStyle w:val="a8"/>
              <w:spacing w:after="0" w:line="240" w:lineRule="auto"/>
              <w:rPr>
                <w:rFonts w:ascii="Times New Roman"/>
                <w:b/>
                <w:bCs/>
                <w:lang w:val="ro-MD" w:eastAsia="ru-RU"/>
              </w:rPr>
            </w:pPr>
          </w:p>
        </w:tc>
        <w:tc>
          <w:tcPr>
            <w:tcW w:w="782" w:type="dxa"/>
            <w:tcBorders>
              <w:top w:val="nil"/>
              <w:left w:val="nil"/>
              <w:bottom w:val="single" w:sz="4" w:space="0" w:color="auto"/>
              <w:right w:val="single" w:sz="4" w:space="0" w:color="auto"/>
            </w:tcBorders>
            <w:shd w:val="clear" w:color="000000" w:fill="FDE9D9"/>
            <w:hideMark/>
          </w:tcPr>
          <w:p w14:paraId="06C9D7B5"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w:t>
            </w:r>
          </w:p>
        </w:tc>
        <w:tc>
          <w:tcPr>
            <w:tcW w:w="781" w:type="dxa"/>
            <w:tcBorders>
              <w:top w:val="nil"/>
              <w:left w:val="nil"/>
              <w:bottom w:val="single" w:sz="4" w:space="0" w:color="auto"/>
              <w:right w:val="single" w:sz="4" w:space="0" w:color="auto"/>
            </w:tcBorders>
            <w:shd w:val="clear" w:color="000000" w:fill="FDE9D9"/>
            <w:hideMark/>
          </w:tcPr>
          <w:p w14:paraId="0864E431"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35</w:t>
            </w:r>
          </w:p>
        </w:tc>
        <w:tc>
          <w:tcPr>
            <w:tcW w:w="782" w:type="dxa"/>
            <w:tcBorders>
              <w:top w:val="nil"/>
              <w:left w:val="nil"/>
              <w:bottom w:val="single" w:sz="4" w:space="0" w:color="auto"/>
              <w:right w:val="single" w:sz="4" w:space="0" w:color="auto"/>
            </w:tcBorders>
            <w:shd w:val="clear" w:color="000000" w:fill="FDE9D9"/>
            <w:hideMark/>
          </w:tcPr>
          <w:p w14:paraId="2192F070"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32</w:t>
            </w:r>
          </w:p>
        </w:tc>
        <w:tc>
          <w:tcPr>
            <w:tcW w:w="912" w:type="dxa"/>
            <w:tcBorders>
              <w:top w:val="nil"/>
              <w:left w:val="nil"/>
              <w:bottom w:val="single" w:sz="4" w:space="0" w:color="auto"/>
              <w:right w:val="single" w:sz="4" w:space="0" w:color="auto"/>
            </w:tcBorders>
            <w:shd w:val="clear" w:color="000000" w:fill="FDE9D9"/>
            <w:hideMark/>
          </w:tcPr>
          <w:p w14:paraId="1D1EBADA"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4</w:t>
            </w:r>
          </w:p>
        </w:tc>
        <w:tc>
          <w:tcPr>
            <w:tcW w:w="1043" w:type="dxa"/>
            <w:tcBorders>
              <w:top w:val="nil"/>
              <w:left w:val="nil"/>
              <w:bottom w:val="single" w:sz="4" w:space="0" w:color="auto"/>
              <w:right w:val="single" w:sz="4" w:space="0" w:color="auto"/>
            </w:tcBorders>
            <w:shd w:val="clear" w:color="000000" w:fill="FDE9D9"/>
            <w:hideMark/>
          </w:tcPr>
          <w:p w14:paraId="3EF2FF95"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w:t>
            </w:r>
          </w:p>
        </w:tc>
        <w:tc>
          <w:tcPr>
            <w:tcW w:w="912" w:type="dxa"/>
            <w:tcBorders>
              <w:top w:val="nil"/>
              <w:left w:val="nil"/>
              <w:bottom w:val="single" w:sz="4" w:space="0" w:color="auto"/>
              <w:right w:val="single" w:sz="4" w:space="0" w:color="auto"/>
            </w:tcBorders>
            <w:shd w:val="clear" w:color="000000" w:fill="FDE9D9"/>
            <w:hideMark/>
          </w:tcPr>
          <w:p w14:paraId="0B43CE6D"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0</w:t>
            </w:r>
          </w:p>
        </w:tc>
        <w:tc>
          <w:tcPr>
            <w:tcW w:w="1044" w:type="dxa"/>
            <w:tcBorders>
              <w:top w:val="single" w:sz="4" w:space="0" w:color="auto"/>
              <w:left w:val="single" w:sz="4" w:space="0" w:color="auto"/>
              <w:bottom w:val="single" w:sz="4" w:space="0" w:color="auto"/>
              <w:right w:val="single" w:sz="4" w:space="0" w:color="auto"/>
            </w:tcBorders>
            <w:shd w:val="clear" w:color="000000" w:fill="FFFF00"/>
            <w:noWrap/>
            <w:hideMark/>
          </w:tcPr>
          <w:p w14:paraId="4352D02A"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91,4%</w:t>
            </w:r>
          </w:p>
        </w:tc>
        <w:tc>
          <w:tcPr>
            <w:tcW w:w="781" w:type="dxa"/>
            <w:tcBorders>
              <w:top w:val="single" w:sz="4" w:space="0" w:color="auto"/>
              <w:left w:val="single" w:sz="4" w:space="0" w:color="auto"/>
              <w:bottom w:val="single" w:sz="4" w:space="0" w:color="auto"/>
              <w:right w:val="single" w:sz="4" w:space="0" w:color="auto"/>
            </w:tcBorders>
            <w:shd w:val="clear" w:color="000000" w:fill="92D050"/>
            <w:noWrap/>
            <w:hideMark/>
          </w:tcPr>
          <w:p w14:paraId="5B08A74F"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46</w:t>
            </w:r>
          </w:p>
        </w:tc>
        <w:tc>
          <w:tcPr>
            <w:tcW w:w="1043" w:type="dxa"/>
            <w:tcBorders>
              <w:top w:val="nil"/>
              <w:left w:val="nil"/>
              <w:bottom w:val="single" w:sz="4" w:space="0" w:color="auto"/>
              <w:right w:val="single" w:sz="4" w:space="0" w:color="auto"/>
            </w:tcBorders>
            <w:shd w:val="clear" w:color="000000" w:fill="FFFFFF"/>
            <w:noWrap/>
            <w:hideMark/>
          </w:tcPr>
          <w:p w14:paraId="7607698C"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3,1%</w:t>
            </w:r>
          </w:p>
        </w:tc>
        <w:tc>
          <w:tcPr>
            <w:tcW w:w="1140" w:type="dxa"/>
            <w:tcBorders>
              <w:top w:val="nil"/>
              <w:left w:val="nil"/>
              <w:bottom w:val="single" w:sz="4" w:space="0" w:color="auto"/>
              <w:right w:val="single" w:sz="4" w:space="0" w:color="auto"/>
            </w:tcBorders>
            <w:shd w:val="clear" w:color="000000" w:fill="FFFFFF"/>
            <w:noWrap/>
            <w:hideMark/>
          </w:tcPr>
          <w:p w14:paraId="156916A0"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0,0%</w:t>
            </w:r>
          </w:p>
        </w:tc>
      </w:tr>
      <w:tr w:rsidR="002A7A3A" w:rsidRPr="00A219DB" w14:paraId="2F82DCA5" w14:textId="77777777" w:rsidTr="002A7A3A">
        <w:trPr>
          <w:trHeight w:val="649"/>
        </w:trPr>
        <w:tc>
          <w:tcPr>
            <w:tcW w:w="1843" w:type="dxa"/>
            <w:tcBorders>
              <w:top w:val="nil"/>
              <w:left w:val="single" w:sz="4" w:space="0" w:color="auto"/>
              <w:bottom w:val="single" w:sz="4" w:space="0" w:color="auto"/>
              <w:right w:val="single" w:sz="4" w:space="0" w:color="auto"/>
            </w:tcBorders>
            <w:hideMark/>
          </w:tcPr>
          <w:p w14:paraId="37554B16" w14:textId="77777777" w:rsidR="002A7A3A" w:rsidRPr="00A219DB" w:rsidRDefault="002A7A3A"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de contencios administrative</w:t>
            </w:r>
          </w:p>
          <w:p w14:paraId="5E2E4C41" w14:textId="77777777" w:rsidR="002A7A3A" w:rsidRPr="00A219DB" w:rsidRDefault="002A7A3A" w:rsidP="002D569B">
            <w:pPr>
              <w:spacing w:after="0" w:line="240" w:lineRule="auto"/>
              <w:rPr>
                <w:rFonts w:ascii="Times New Roman" w:hAnsi="Times New Roman"/>
                <w:b/>
                <w:bCs/>
                <w:lang w:val="ro-MD" w:eastAsia="ru-RU"/>
              </w:rPr>
            </w:pPr>
          </w:p>
        </w:tc>
        <w:tc>
          <w:tcPr>
            <w:tcW w:w="782" w:type="dxa"/>
            <w:tcBorders>
              <w:top w:val="nil"/>
              <w:left w:val="nil"/>
              <w:bottom w:val="single" w:sz="4" w:space="0" w:color="auto"/>
              <w:right w:val="single" w:sz="4" w:space="0" w:color="auto"/>
            </w:tcBorders>
            <w:shd w:val="clear" w:color="000000" w:fill="FDE9D9"/>
            <w:hideMark/>
          </w:tcPr>
          <w:p w14:paraId="31303B79"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20</w:t>
            </w:r>
          </w:p>
        </w:tc>
        <w:tc>
          <w:tcPr>
            <w:tcW w:w="781" w:type="dxa"/>
            <w:tcBorders>
              <w:top w:val="nil"/>
              <w:left w:val="nil"/>
              <w:bottom w:val="single" w:sz="4" w:space="0" w:color="auto"/>
              <w:right w:val="single" w:sz="4" w:space="0" w:color="auto"/>
            </w:tcBorders>
            <w:shd w:val="clear" w:color="000000" w:fill="FDE9D9"/>
            <w:hideMark/>
          </w:tcPr>
          <w:p w14:paraId="22664CFA"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98</w:t>
            </w:r>
          </w:p>
        </w:tc>
        <w:tc>
          <w:tcPr>
            <w:tcW w:w="782" w:type="dxa"/>
            <w:tcBorders>
              <w:top w:val="nil"/>
              <w:left w:val="nil"/>
              <w:bottom w:val="single" w:sz="4" w:space="0" w:color="auto"/>
              <w:right w:val="single" w:sz="4" w:space="0" w:color="auto"/>
            </w:tcBorders>
            <w:shd w:val="clear" w:color="000000" w:fill="FDE9D9"/>
            <w:hideMark/>
          </w:tcPr>
          <w:p w14:paraId="49A3D941"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91</w:t>
            </w:r>
          </w:p>
        </w:tc>
        <w:tc>
          <w:tcPr>
            <w:tcW w:w="912" w:type="dxa"/>
            <w:tcBorders>
              <w:top w:val="nil"/>
              <w:left w:val="nil"/>
              <w:bottom w:val="single" w:sz="4" w:space="0" w:color="auto"/>
              <w:right w:val="single" w:sz="4" w:space="0" w:color="auto"/>
            </w:tcBorders>
            <w:shd w:val="clear" w:color="000000" w:fill="FDE9D9"/>
            <w:hideMark/>
          </w:tcPr>
          <w:p w14:paraId="2DD26290"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27</w:t>
            </w:r>
          </w:p>
        </w:tc>
        <w:tc>
          <w:tcPr>
            <w:tcW w:w="1043" w:type="dxa"/>
            <w:tcBorders>
              <w:top w:val="nil"/>
              <w:left w:val="nil"/>
              <w:bottom w:val="single" w:sz="4" w:space="0" w:color="auto"/>
              <w:right w:val="single" w:sz="4" w:space="0" w:color="auto"/>
            </w:tcBorders>
            <w:shd w:val="clear" w:color="000000" w:fill="FDE9D9"/>
            <w:hideMark/>
          </w:tcPr>
          <w:p w14:paraId="7B1C00E1"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57</w:t>
            </w:r>
          </w:p>
        </w:tc>
        <w:tc>
          <w:tcPr>
            <w:tcW w:w="912" w:type="dxa"/>
            <w:tcBorders>
              <w:top w:val="nil"/>
              <w:left w:val="nil"/>
              <w:bottom w:val="single" w:sz="4" w:space="0" w:color="auto"/>
              <w:right w:val="single" w:sz="4" w:space="0" w:color="auto"/>
            </w:tcBorders>
            <w:shd w:val="clear" w:color="000000" w:fill="FDE9D9"/>
            <w:hideMark/>
          </w:tcPr>
          <w:p w14:paraId="7C5ABE62"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18</w:t>
            </w:r>
          </w:p>
        </w:tc>
        <w:tc>
          <w:tcPr>
            <w:tcW w:w="1044" w:type="dxa"/>
            <w:tcBorders>
              <w:top w:val="single" w:sz="4" w:space="0" w:color="auto"/>
              <w:left w:val="single" w:sz="4" w:space="0" w:color="auto"/>
              <w:bottom w:val="single" w:sz="4" w:space="0" w:color="auto"/>
              <w:right w:val="single" w:sz="4" w:space="0" w:color="auto"/>
            </w:tcBorders>
            <w:shd w:val="clear" w:color="000000" w:fill="FFFF00"/>
            <w:noWrap/>
            <w:hideMark/>
          </w:tcPr>
          <w:p w14:paraId="40469F2D" w14:textId="77777777" w:rsidR="002A7A3A" w:rsidRPr="00335C03" w:rsidRDefault="002A7A3A" w:rsidP="002D569B">
            <w:pPr>
              <w:spacing w:after="0" w:line="240" w:lineRule="auto"/>
              <w:jc w:val="right"/>
              <w:rPr>
                <w:rFonts w:ascii="Times New Roman" w:hAnsi="Times New Roman"/>
                <w:b/>
                <w:bCs/>
                <w:sz w:val="24"/>
                <w:szCs w:val="24"/>
                <w:lang w:val="ro-MD" w:eastAsia="ru-RU"/>
              </w:rPr>
            </w:pPr>
            <w:r w:rsidRPr="00335C03">
              <w:rPr>
                <w:rFonts w:ascii="Times New Roman" w:hAnsi="Times New Roman"/>
                <w:b/>
                <w:bCs/>
                <w:sz w:val="24"/>
                <w:szCs w:val="24"/>
                <w:lang w:val="ro-MD" w:eastAsia="ru-RU"/>
              </w:rPr>
              <w:t>92,9%</w:t>
            </w:r>
          </w:p>
        </w:tc>
        <w:tc>
          <w:tcPr>
            <w:tcW w:w="781" w:type="dxa"/>
            <w:tcBorders>
              <w:top w:val="single" w:sz="4" w:space="0" w:color="auto"/>
              <w:left w:val="single" w:sz="4" w:space="0" w:color="auto"/>
              <w:bottom w:val="single" w:sz="4" w:space="0" w:color="auto"/>
              <w:right w:val="single" w:sz="4" w:space="0" w:color="auto"/>
            </w:tcBorders>
            <w:shd w:val="clear" w:color="000000" w:fill="92D050"/>
            <w:noWrap/>
            <w:hideMark/>
          </w:tcPr>
          <w:p w14:paraId="705558A3"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108</w:t>
            </w:r>
          </w:p>
        </w:tc>
        <w:tc>
          <w:tcPr>
            <w:tcW w:w="1043" w:type="dxa"/>
            <w:tcBorders>
              <w:top w:val="nil"/>
              <w:left w:val="nil"/>
              <w:bottom w:val="single" w:sz="4" w:space="0" w:color="auto"/>
              <w:right w:val="single" w:sz="4" w:space="0" w:color="auto"/>
            </w:tcBorders>
            <w:shd w:val="clear" w:color="000000" w:fill="FFFFFF"/>
            <w:noWrap/>
            <w:hideMark/>
          </w:tcPr>
          <w:p w14:paraId="15365682" w14:textId="77777777" w:rsidR="002A7A3A" w:rsidRPr="00335C03" w:rsidRDefault="002A7A3A" w:rsidP="002D569B">
            <w:pPr>
              <w:spacing w:after="0" w:line="240" w:lineRule="auto"/>
              <w:jc w:val="right"/>
              <w:rPr>
                <w:rFonts w:ascii="Times New Roman" w:hAnsi="Times New Roman"/>
                <w:b/>
                <w:bCs/>
                <w:sz w:val="24"/>
                <w:szCs w:val="24"/>
                <w:lang w:val="ro-MD" w:eastAsia="ru-RU"/>
              </w:rPr>
            </w:pPr>
            <w:r w:rsidRPr="00335C03">
              <w:rPr>
                <w:rFonts w:ascii="Times New Roman" w:hAnsi="Times New Roman"/>
                <w:b/>
                <w:bCs/>
                <w:sz w:val="24"/>
                <w:szCs w:val="24"/>
                <w:lang w:val="ro-MD" w:eastAsia="ru-RU"/>
              </w:rPr>
              <w:t>62,6%</w:t>
            </w:r>
          </w:p>
        </w:tc>
        <w:tc>
          <w:tcPr>
            <w:tcW w:w="1140" w:type="dxa"/>
            <w:tcBorders>
              <w:top w:val="nil"/>
              <w:left w:val="nil"/>
              <w:bottom w:val="single" w:sz="4" w:space="0" w:color="auto"/>
              <w:right w:val="single" w:sz="4" w:space="0" w:color="auto"/>
            </w:tcBorders>
            <w:shd w:val="clear" w:color="000000" w:fill="FFFFFF"/>
            <w:noWrap/>
            <w:hideMark/>
          </w:tcPr>
          <w:p w14:paraId="60A18547" w14:textId="77777777" w:rsidR="002A7A3A" w:rsidRPr="00335C03" w:rsidRDefault="002A7A3A" w:rsidP="002D569B">
            <w:pPr>
              <w:spacing w:after="0" w:line="240" w:lineRule="auto"/>
              <w:jc w:val="right"/>
              <w:rPr>
                <w:rFonts w:ascii="Times New Roman" w:hAnsi="Times New Roman"/>
                <w:b/>
                <w:bCs/>
                <w:sz w:val="24"/>
                <w:szCs w:val="24"/>
                <w:lang w:val="ro-MD" w:eastAsia="ru-RU"/>
              </w:rPr>
            </w:pPr>
            <w:r w:rsidRPr="00335C03">
              <w:rPr>
                <w:rFonts w:ascii="Times New Roman" w:hAnsi="Times New Roman"/>
                <w:b/>
                <w:bCs/>
                <w:sz w:val="24"/>
                <w:szCs w:val="24"/>
                <w:lang w:val="ro-MD" w:eastAsia="ru-RU"/>
              </w:rPr>
              <w:t>19,8%</w:t>
            </w:r>
          </w:p>
        </w:tc>
      </w:tr>
      <w:tr w:rsidR="002A7A3A" w:rsidRPr="00A219DB" w14:paraId="6D490F08" w14:textId="77777777" w:rsidTr="002A7A3A">
        <w:trPr>
          <w:trHeight w:val="369"/>
        </w:trPr>
        <w:tc>
          <w:tcPr>
            <w:tcW w:w="1843" w:type="dxa"/>
            <w:tcBorders>
              <w:top w:val="nil"/>
              <w:left w:val="single" w:sz="4" w:space="0" w:color="auto"/>
              <w:bottom w:val="single" w:sz="4" w:space="0" w:color="auto"/>
              <w:right w:val="single" w:sz="4" w:space="0" w:color="auto"/>
            </w:tcBorders>
            <w:hideMark/>
          </w:tcPr>
          <w:p w14:paraId="4A577657" w14:textId="77777777" w:rsidR="002A7A3A" w:rsidRPr="00A219DB" w:rsidRDefault="002A7A3A"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penale</w:t>
            </w:r>
          </w:p>
          <w:p w14:paraId="1863BDA0" w14:textId="77777777" w:rsidR="002A7A3A" w:rsidRPr="00A219DB" w:rsidRDefault="002A7A3A" w:rsidP="002D569B">
            <w:pPr>
              <w:pStyle w:val="a8"/>
              <w:spacing w:after="0" w:line="240" w:lineRule="auto"/>
              <w:rPr>
                <w:rFonts w:ascii="Times New Roman"/>
                <w:b/>
                <w:bCs/>
                <w:lang w:val="ro-MD" w:eastAsia="ru-RU"/>
              </w:rPr>
            </w:pPr>
          </w:p>
        </w:tc>
        <w:tc>
          <w:tcPr>
            <w:tcW w:w="782" w:type="dxa"/>
            <w:tcBorders>
              <w:top w:val="nil"/>
              <w:left w:val="nil"/>
              <w:bottom w:val="single" w:sz="4" w:space="0" w:color="auto"/>
              <w:right w:val="single" w:sz="4" w:space="0" w:color="auto"/>
            </w:tcBorders>
            <w:shd w:val="clear" w:color="000000" w:fill="FDE9D9"/>
            <w:hideMark/>
          </w:tcPr>
          <w:p w14:paraId="456E6AAE"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98</w:t>
            </w:r>
          </w:p>
        </w:tc>
        <w:tc>
          <w:tcPr>
            <w:tcW w:w="781" w:type="dxa"/>
            <w:tcBorders>
              <w:top w:val="nil"/>
              <w:left w:val="nil"/>
              <w:bottom w:val="single" w:sz="4" w:space="0" w:color="auto"/>
              <w:right w:val="single" w:sz="4" w:space="0" w:color="auto"/>
            </w:tcBorders>
            <w:shd w:val="clear" w:color="000000" w:fill="FDE9D9"/>
            <w:hideMark/>
          </w:tcPr>
          <w:p w14:paraId="37FF80F5"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1 136</w:t>
            </w:r>
          </w:p>
        </w:tc>
        <w:tc>
          <w:tcPr>
            <w:tcW w:w="782" w:type="dxa"/>
            <w:tcBorders>
              <w:top w:val="nil"/>
              <w:left w:val="nil"/>
              <w:bottom w:val="single" w:sz="4" w:space="0" w:color="auto"/>
              <w:right w:val="single" w:sz="4" w:space="0" w:color="auto"/>
            </w:tcBorders>
            <w:shd w:val="clear" w:color="000000" w:fill="FDE9D9"/>
            <w:hideMark/>
          </w:tcPr>
          <w:p w14:paraId="6003187C"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1 090</w:t>
            </w:r>
          </w:p>
        </w:tc>
        <w:tc>
          <w:tcPr>
            <w:tcW w:w="912" w:type="dxa"/>
            <w:tcBorders>
              <w:top w:val="nil"/>
              <w:left w:val="nil"/>
              <w:bottom w:val="single" w:sz="4" w:space="0" w:color="auto"/>
              <w:right w:val="single" w:sz="4" w:space="0" w:color="auto"/>
            </w:tcBorders>
            <w:shd w:val="clear" w:color="000000" w:fill="FDE9D9"/>
            <w:hideMark/>
          </w:tcPr>
          <w:p w14:paraId="71CF32F2"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144</w:t>
            </w:r>
          </w:p>
        </w:tc>
        <w:tc>
          <w:tcPr>
            <w:tcW w:w="1043" w:type="dxa"/>
            <w:tcBorders>
              <w:top w:val="nil"/>
              <w:left w:val="nil"/>
              <w:bottom w:val="single" w:sz="4" w:space="0" w:color="auto"/>
              <w:right w:val="single" w:sz="4" w:space="0" w:color="auto"/>
            </w:tcBorders>
            <w:shd w:val="clear" w:color="000000" w:fill="FDE9D9"/>
            <w:hideMark/>
          </w:tcPr>
          <w:p w14:paraId="34E26F51"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193</w:t>
            </w:r>
          </w:p>
        </w:tc>
        <w:tc>
          <w:tcPr>
            <w:tcW w:w="912" w:type="dxa"/>
            <w:tcBorders>
              <w:top w:val="nil"/>
              <w:left w:val="nil"/>
              <w:bottom w:val="single" w:sz="4" w:space="0" w:color="auto"/>
              <w:right w:val="single" w:sz="4" w:space="0" w:color="auto"/>
            </w:tcBorders>
            <w:shd w:val="clear" w:color="000000" w:fill="FDE9D9"/>
            <w:hideMark/>
          </w:tcPr>
          <w:p w14:paraId="6DD54493"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57</w:t>
            </w:r>
          </w:p>
        </w:tc>
        <w:tc>
          <w:tcPr>
            <w:tcW w:w="1044" w:type="dxa"/>
            <w:tcBorders>
              <w:top w:val="single" w:sz="4" w:space="0" w:color="auto"/>
              <w:left w:val="single" w:sz="4" w:space="0" w:color="auto"/>
              <w:bottom w:val="single" w:sz="4" w:space="0" w:color="auto"/>
              <w:right w:val="single" w:sz="4" w:space="0" w:color="auto"/>
            </w:tcBorders>
            <w:shd w:val="clear" w:color="000000" w:fill="FFFF00"/>
            <w:noWrap/>
            <w:hideMark/>
          </w:tcPr>
          <w:p w14:paraId="29B4A68D" w14:textId="77777777" w:rsidR="002A7A3A" w:rsidRPr="00335C03" w:rsidRDefault="002A7A3A" w:rsidP="002D569B">
            <w:pPr>
              <w:spacing w:after="0" w:line="240" w:lineRule="auto"/>
              <w:jc w:val="right"/>
              <w:rPr>
                <w:rFonts w:ascii="Times New Roman" w:hAnsi="Times New Roman"/>
                <w:b/>
                <w:bCs/>
                <w:sz w:val="24"/>
                <w:szCs w:val="24"/>
                <w:lang w:val="ro-MD" w:eastAsia="ru-RU"/>
              </w:rPr>
            </w:pPr>
            <w:r w:rsidRPr="00335C03">
              <w:rPr>
                <w:rFonts w:ascii="Times New Roman" w:hAnsi="Times New Roman"/>
                <w:b/>
                <w:bCs/>
                <w:sz w:val="24"/>
                <w:szCs w:val="24"/>
                <w:lang w:val="ro-MD" w:eastAsia="ru-RU"/>
              </w:rPr>
              <w:t>96,0%</w:t>
            </w:r>
          </w:p>
        </w:tc>
        <w:tc>
          <w:tcPr>
            <w:tcW w:w="781" w:type="dxa"/>
            <w:tcBorders>
              <w:top w:val="single" w:sz="4" w:space="0" w:color="auto"/>
              <w:left w:val="single" w:sz="4" w:space="0" w:color="auto"/>
              <w:bottom w:val="single" w:sz="4" w:space="0" w:color="auto"/>
              <w:right w:val="single" w:sz="4" w:space="0" w:color="auto"/>
            </w:tcBorders>
            <w:shd w:val="clear" w:color="000000" w:fill="92D050"/>
            <w:noWrap/>
            <w:hideMark/>
          </w:tcPr>
          <w:p w14:paraId="12663F79"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48</w:t>
            </w:r>
          </w:p>
        </w:tc>
        <w:tc>
          <w:tcPr>
            <w:tcW w:w="1043" w:type="dxa"/>
            <w:tcBorders>
              <w:top w:val="nil"/>
              <w:left w:val="nil"/>
              <w:bottom w:val="single" w:sz="4" w:space="0" w:color="auto"/>
              <w:right w:val="single" w:sz="4" w:space="0" w:color="auto"/>
            </w:tcBorders>
            <w:shd w:val="clear" w:color="000000" w:fill="FFFFFF"/>
            <w:noWrap/>
            <w:hideMark/>
          </w:tcPr>
          <w:p w14:paraId="779DCD09" w14:textId="77777777" w:rsidR="002A7A3A" w:rsidRPr="00335C03" w:rsidRDefault="002A7A3A" w:rsidP="002D569B">
            <w:pPr>
              <w:spacing w:after="0" w:line="240" w:lineRule="auto"/>
              <w:jc w:val="right"/>
              <w:rPr>
                <w:rFonts w:ascii="Times New Roman" w:hAnsi="Times New Roman"/>
                <w:b/>
                <w:bCs/>
                <w:sz w:val="24"/>
                <w:szCs w:val="24"/>
                <w:lang w:val="ro-MD" w:eastAsia="ru-RU"/>
              </w:rPr>
            </w:pPr>
            <w:r w:rsidRPr="00335C03">
              <w:rPr>
                <w:rFonts w:ascii="Times New Roman" w:hAnsi="Times New Roman"/>
                <w:b/>
                <w:bCs/>
                <w:sz w:val="24"/>
                <w:szCs w:val="24"/>
                <w:lang w:val="ro-MD" w:eastAsia="ru-RU"/>
              </w:rPr>
              <w:t>17,7%</w:t>
            </w:r>
          </w:p>
        </w:tc>
        <w:tc>
          <w:tcPr>
            <w:tcW w:w="1140" w:type="dxa"/>
            <w:tcBorders>
              <w:top w:val="nil"/>
              <w:left w:val="nil"/>
              <w:bottom w:val="single" w:sz="4" w:space="0" w:color="auto"/>
              <w:right w:val="single" w:sz="4" w:space="0" w:color="auto"/>
            </w:tcBorders>
            <w:shd w:val="clear" w:color="000000" w:fill="FFFFFF"/>
            <w:noWrap/>
            <w:hideMark/>
          </w:tcPr>
          <w:p w14:paraId="7BCFC86E" w14:textId="77777777" w:rsidR="002A7A3A" w:rsidRPr="00335C03" w:rsidRDefault="002A7A3A" w:rsidP="002D569B">
            <w:pPr>
              <w:spacing w:after="0" w:line="240" w:lineRule="auto"/>
              <w:jc w:val="right"/>
              <w:rPr>
                <w:rFonts w:ascii="Times New Roman" w:hAnsi="Times New Roman"/>
                <w:b/>
                <w:bCs/>
                <w:sz w:val="24"/>
                <w:szCs w:val="24"/>
                <w:lang w:val="ro-MD" w:eastAsia="ru-RU"/>
              </w:rPr>
            </w:pPr>
            <w:r w:rsidRPr="00335C03">
              <w:rPr>
                <w:rFonts w:ascii="Times New Roman" w:hAnsi="Times New Roman"/>
                <w:b/>
                <w:bCs/>
                <w:sz w:val="24"/>
                <w:szCs w:val="24"/>
                <w:lang w:val="ro-MD" w:eastAsia="ru-RU"/>
              </w:rPr>
              <w:t>5,2%</w:t>
            </w:r>
          </w:p>
        </w:tc>
      </w:tr>
      <w:tr w:rsidR="002A7A3A" w:rsidRPr="00A219DB" w14:paraId="508FFE47" w14:textId="77777777" w:rsidTr="002A7A3A">
        <w:trPr>
          <w:trHeight w:val="369"/>
        </w:trPr>
        <w:tc>
          <w:tcPr>
            <w:tcW w:w="1843" w:type="dxa"/>
            <w:tcBorders>
              <w:top w:val="nil"/>
              <w:left w:val="single" w:sz="4" w:space="0" w:color="auto"/>
              <w:bottom w:val="single" w:sz="4" w:space="0" w:color="auto"/>
              <w:right w:val="single" w:sz="4" w:space="0" w:color="auto"/>
            </w:tcBorders>
            <w:hideMark/>
          </w:tcPr>
          <w:p w14:paraId="26D2957A" w14:textId="77777777" w:rsidR="002A7A3A" w:rsidRPr="00A219DB" w:rsidRDefault="002A7A3A"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contravenționale</w:t>
            </w:r>
          </w:p>
        </w:tc>
        <w:tc>
          <w:tcPr>
            <w:tcW w:w="782" w:type="dxa"/>
            <w:tcBorders>
              <w:top w:val="nil"/>
              <w:left w:val="nil"/>
              <w:bottom w:val="single" w:sz="4" w:space="0" w:color="auto"/>
              <w:right w:val="single" w:sz="4" w:space="0" w:color="auto"/>
            </w:tcBorders>
            <w:shd w:val="clear" w:color="000000" w:fill="FDE9D9"/>
            <w:hideMark/>
          </w:tcPr>
          <w:p w14:paraId="77BD2EA0"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29</w:t>
            </w:r>
          </w:p>
        </w:tc>
        <w:tc>
          <w:tcPr>
            <w:tcW w:w="781" w:type="dxa"/>
            <w:tcBorders>
              <w:top w:val="nil"/>
              <w:left w:val="nil"/>
              <w:bottom w:val="single" w:sz="4" w:space="0" w:color="auto"/>
              <w:right w:val="single" w:sz="4" w:space="0" w:color="auto"/>
            </w:tcBorders>
            <w:shd w:val="clear" w:color="000000" w:fill="FDE9D9"/>
            <w:hideMark/>
          </w:tcPr>
          <w:p w14:paraId="2FB2B101"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189</w:t>
            </w:r>
          </w:p>
        </w:tc>
        <w:tc>
          <w:tcPr>
            <w:tcW w:w="782" w:type="dxa"/>
            <w:tcBorders>
              <w:top w:val="nil"/>
              <w:left w:val="nil"/>
              <w:bottom w:val="single" w:sz="4" w:space="0" w:color="auto"/>
              <w:right w:val="single" w:sz="4" w:space="0" w:color="auto"/>
            </w:tcBorders>
            <w:shd w:val="clear" w:color="000000" w:fill="FDE9D9"/>
            <w:hideMark/>
          </w:tcPr>
          <w:p w14:paraId="753D3705"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195</w:t>
            </w:r>
          </w:p>
        </w:tc>
        <w:tc>
          <w:tcPr>
            <w:tcW w:w="912" w:type="dxa"/>
            <w:tcBorders>
              <w:top w:val="nil"/>
              <w:left w:val="nil"/>
              <w:bottom w:val="single" w:sz="4" w:space="0" w:color="auto"/>
              <w:right w:val="single" w:sz="4" w:space="0" w:color="auto"/>
            </w:tcBorders>
            <w:shd w:val="clear" w:color="000000" w:fill="FDE9D9"/>
            <w:hideMark/>
          </w:tcPr>
          <w:p w14:paraId="4874BBD8"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23</w:t>
            </w:r>
          </w:p>
        </w:tc>
        <w:tc>
          <w:tcPr>
            <w:tcW w:w="1043" w:type="dxa"/>
            <w:tcBorders>
              <w:top w:val="nil"/>
              <w:left w:val="nil"/>
              <w:bottom w:val="single" w:sz="4" w:space="0" w:color="auto"/>
              <w:right w:val="single" w:sz="4" w:space="0" w:color="auto"/>
            </w:tcBorders>
            <w:shd w:val="clear" w:color="000000" w:fill="FDE9D9"/>
            <w:hideMark/>
          </w:tcPr>
          <w:p w14:paraId="41571F37"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 </w:t>
            </w:r>
          </w:p>
        </w:tc>
        <w:tc>
          <w:tcPr>
            <w:tcW w:w="912" w:type="dxa"/>
            <w:tcBorders>
              <w:top w:val="nil"/>
              <w:left w:val="nil"/>
              <w:bottom w:val="single" w:sz="4" w:space="0" w:color="auto"/>
              <w:right w:val="single" w:sz="4" w:space="0" w:color="auto"/>
            </w:tcBorders>
            <w:shd w:val="clear" w:color="000000" w:fill="FDE9D9"/>
            <w:hideMark/>
          </w:tcPr>
          <w:p w14:paraId="46556157"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 </w:t>
            </w:r>
          </w:p>
        </w:tc>
        <w:tc>
          <w:tcPr>
            <w:tcW w:w="1044" w:type="dxa"/>
            <w:tcBorders>
              <w:top w:val="single" w:sz="4" w:space="0" w:color="auto"/>
              <w:left w:val="single" w:sz="4" w:space="0" w:color="auto"/>
              <w:bottom w:val="single" w:sz="4" w:space="0" w:color="auto"/>
              <w:right w:val="single" w:sz="4" w:space="0" w:color="auto"/>
            </w:tcBorders>
            <w:shd w:val="clear" w:color="000000" w:fill="92D050"/>
            <w:noWrap/>
            <w:hideMark/>
          </w:tcPr>
          <w:p w14:paraId="548410B5"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103,2%</w:t>
            </w:r>
          </w:p>
        </w:tc>
        <w:tc>
          <w:tcPr>
            <w:tcW w:w="781" w:type="dxa"/>
            <w:tcBorders>
              <w:top w:val="single" w:sz="4" w:space="0" w:color="auto"/>
              <w:left w:val="single" w:sz="4" w:space="0" w:color="auto"/>
              <w:bottom w:val="single" w:sz="4" w:space="0" w:color="auto"/>
              <w:right w:val="single" w:sz="4" w:space="0" w:color="auto"/>
            </w:tcBorders>
            <w:shd w:val="clear" w:color="000000" w:fill="92D050"/>
            <w:noWrap/>
            <w:hideMark/>
          </w:tcPr>
          <w:p w14:paraId="6981E23E"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43</w:t>
            </w:r>
          </w:p>
        </w:tc>
        <w:tc>
          <w:tcPr>
            <w:tcW w:w="1043" w:type="dxa"/>
            <w:tcBorders>
              <w:top w:val="nil"/>
              <w:left w:val="nil"/>
              <w:bottom w:val="single" w:sz="4" w:space="0" w:color="auto"/>
              <w:right w:val="single" w:sz="4" w:space="0" w:color="auto"/>
            </w:tcBorders>
            <w:shd w:val="clear" w:color="000000" w:fill="FFFFFF"/>
            <w:noWrap/>
            <w:hideMark/>
          </w:tcPr>
          <w:p w14:paraId="36D15358"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0,0%</w:t>
            </w:r>
          </w:p>
        </w:tc>
        <w:tc>
          <w:tcPr>
            <w:tcW w:w="1140" w:type="dxa"/>
            <w:tcBorders>
              <w:top w:val="nil"/>
              <w:left w:val="nil"/>
              <w:bottom w:val="single" w:sz="4" w:space="0" w:color="auto"/>
              <w:right w:val="single" w:sz="4" w:space="0" w:color="auto"/>
            </w:tcBorders>
            <w:shd w:val="clear" w:color="000000" w:fill="FFFFFF"/>
            <w:noWrap/>
            <w:hideMark/>
          </w:tcPr>
          <w:p w14:paraId="17772340"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0,0%</w:t>
            </w:r>
          </w:p>
        </w:tc>
      </w:tr>
      <w:tr w:rsidR="002A7A3A" w:rsidRPr="00A219DB" w14:paraId="7B90BF43" w14:textId="77777777" w:rsidTr="002A7A3A">
        <w:trPr>
          <w:trHeight w:val="369"/>
        </w:trPr>
        <w:tc>
          <w:tcPr>
            <w:tcW w:w="1843" w:type="dxa"/>
            <w:tcBorders>
              <w:top w:val="nil"/>
              <w:left w:val="single" w:sz="4" w:space="0" w:color="auto"/>
              <w:bottom w:val="single" w:sz="4" w:space="0" w:color="auto"/>
              <w:right w:val="single" w:sz="4" w:space="0" w:color="auto"/>
            </w:tcBorders>
            <w:hideMark/>
          </w:tcPr>
          <w:p w14:paraId="3F1AD431" w14:textId="77777777" w:rsidR="002A7A3A" w:rsidRPr="00A219DB" w:rsidRDefault="002A7A3A" w:rsidP="002D569B">
            <w:pPr>
              <w:spacing w:after="0" w:line="240" w:lineRule="auto"/>
              <w:rPr>
                <w:rFonts w:ascii="Times New Roman" w:hAnsi="Times New Roman"/>
                <w:b/>
                <w:bCs/>
                <w:lang w:val="ro-MD" w:eastAsia="ru-RU"/>
              </w:rPr>
            </w:pPr>
          </w:p>
          <w:p w14:paraId="034B32F2" w14:textId="77777777" w:rsidR="002A7A3A" w:rsidRPr="00A219DB" w:rsidRDefault="002A7A3A"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Totalul cauze</w:t>
            </w:r>
          </w:p>
        </w:tc>
        <w:tc>
          <w:tcPr>
            <w:tcW w:w="782" w:type="dxa"/>
            <w:tcBorders>
              <w:top w:val="nil"/>
              <w:left w:val="nil"/>
              <w:bottom w:val="single" w:sz="4" w:space="0" w:color="auto"/>
              <w:right w:val="single" w:sz="4" w:space="0" w:color="auto"/>
            </w:tcBorders>
            <w:noWrap/>
            <w:vAlign w:val="bottom"/>
            <w:hideMark/>
          </w:tcPr>
          <w:p w14:paraId="76EE2AE7"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208</w:t>
            </w:r>
          </w:p>
        </w:tc>
        <w:tc>
          <w:tcPr>
            <w:tcW w:w="781" w:type="dxa"/>
            <w:tcBorders>
              <w:top w:val="nil"/>
              <w:left w:val="nil"/>
              <w:bottom w:val="single" w:sz="4" w:space="0" w:color="auto"/>
              <w:right w:val="single" w:sz="4" w:space="0" w:color="auto"/>
            </w:tcBorders>
            <w:noWrap/>
            <w:vAlign w:val="bottom"/>
            <w:hideMark/>
          </w:tcPr>
          <w:p w14:paraId="29F0DA94"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1 875</w:t>
            </w:r>
          </w:p>
        </w:tc>
        <w:tc>
          <w:tcPr>
            <w:tcW w:w="782" w:type="dxa"/>
            <w:tcBorders>
              <w:top w:val="nil"/>
              <w:left w:val="nil"/>
              <w:bottom w:val="single" w:sz="4" w:space="0" w:color="auto"/>
              <w:right w:val="single" w:sz="4" w:space="0" w:color="auto"/>
            </w:tcBorders>
            <w:noWrap/>
            <w:vAlign w:val="bottom"/>
            <w:hideMark/>
          </w:tcPr>
          <w:p w14:paraId="17FE3782"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1 818</w:t>
            </w:r>
          </w:p>
        </w:tc>
        <w:tc>
          <w:tcPr>
            <w:tcW w:w="912" w:type="dxa"/>
            <w:tcBorders>
              <w:top w:val="nil"/>
              <w:left w:val="nil"/>
              <w:bottom w:val="single" w:sz="4" w:space="0" w:color="auto"/>
              <w:right w:val="single" w:sz="4" w:space="0" w:color="auto"/>
            </w:tcBorders>
            <w:noWrap/>
            <w:vAlign w:val="bottom"/>
            <w:hideMark/>
          </w:tcPr>
          <w:p w14:paraId="0EA4449B"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265</w:t>
            </w:r>
          </w:p>
        </w:tc>
        <w:tc>
          <w:tcPr>
            <w:tcW w:w="1043" w:type="dxa"/>
            <w:tcBorders>
              <w:top w:val="nil"/>
              <w:left w:val="nil"/>
              <w:bottom w:val="single" w:sz="4" w:space="0" w:color="auto"/>
              <w:right w:val="single" w:sz="4" w:space="0" w:color="auto"/>
            </w:tcBorders>
            <w:noWrap/>
            <w:vAlign w:val="bottom"/>
            <w:hideMark/>
          </w:tcPr>
          <w:p w14:paraId="4EE8A1A2"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311</w:t>
            </w:r>
          </w:p>
        </w:tc>
        <w:tc>
          <w:tcPr>
            <w:tcW w:w="912" w:type="dxa"/>
            <w:tcBorders>
              <w:top w:val="nil"/>
              <w:left w:val="nil"/>
              <w:bottom w:val="single" w:sz="4" w:space="0" w:color="auto"/>
              <w:right w:val="single" w:sz="4" w:space="0" w:color="auto"/>
            </w:tcBorders>
            <w:noWrap/>
            <w:vAlign w:val="bottom"/>
            <w:hideMark/>
          </w:tcPr>
          <w:p w14:paraId="4D8DADF3"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83</w:t>
            </w:r>
          </w:p>
        </w:tc>
        <w:tc>
          <w:tcPr>
            <w:tcW w:w="1044" w:type="dxa"/>
            <w:tcBorders>
              <w:top w:val="single" w:sz="4" w:space="0" w:color="auto"/>
              <w:left w:val="single" w:sz="4" w:space="0" w:color="auto"/>
              <w:bottom w:val="single" w:sz="4" w:space="0" w:color="auto"/>
              <w:right w:val="single" w:sz="4" w:space="0" w:color="auto"/>
            </w:tcBorders>
            <w:shd w:val="clear" w:color="000000" w:fill="FFFF00"/>
            <w:noWrap/>
            <w:hideMark/>
          </w:tcPr>
          <w:p w14:paraId="4F5724E9" w14:textId="77777777" w:rsidR="002A7A3A" w:rsidRPr="00A219DB" w:rsidRDefault="002A7A3A" w:rsidP="002D569B">
            <w:pPr>
              <w:spacing w:after="0" w:line="240" w:lineRule="auto"/>
              <w:jc w:val="right"/>
              <w:rPr>
                <w:rFonts w:ascii="Times New Roman" w:hAnsi="Times New Roman"/>
                <w:b/>
                <w:bCs/>
                <w:sz w:val="24"/>
                <w:szCs w:val="24"/>
                <w:lang w:val="ro-MD" w:eastAsia="ru-RU"/>
              </w:rPr>
            </w:pPr>
          </w:p>
          <w:p w14:paraId="5D2FCC1E"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97,0%</w:t>
            </w:r>
          </w:p>
        </w:tc>
        <w:tc>
          <w:tcPr>
            <w:tcW w:w="781" w:type="dxa"/>
            <w:tcBorders>
              <w:top w:val="single" w:sz="4" w:space="0" w:color="auto"/>
              <w:left w:val="single" w:sz="4" w:space="0" w:color="auto"/>
              <w:bottom w:val="single" w:sz="4" w:space="0" w:color="auto"/>
              <w:right w:val="single" w:sz="4" w:space="0" w:color="auto"/>
            </w:tcBorders>
            <w:shd w:val="clear" w:color="000000" w:fill="92D050"/>
            <w:noWrap/>
            <w:hideMark/>
          </w:tcPr>
          <w:p w14:paraId="0DB69410" w14:textId="77777777" w:rsidR="002A7A3A" w:rsidRPr="00A219DB" w:rsidRDefault="002A7A3A" w:rsidP="002D569B">
            <w:pPr>
              <w:spacing w:after="0" w:line="240" w:lineRule="auto"/>
              <w:jc w:val="right"/>
              <w:rPr>
                <w:rFonts w:ascii="Times New Roman" w:hAnsi="Times New Roman"/>
                <w:b/>
                <w:bCs/>
                <w:sz w:val="24"/>
                <w:szCs w:val="24"/>
                <w:lang w:val="ro-MD" w:eastAsia="ru-RU"/>
              </w:rPr>
            </w:pPr>
          </w:p>
          <w:p w14:paraId="305AD246"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53</w:t>
            </w:r>
          </w:p>
        </w:tc>
        <w:tc>
          <w:tcPr>
            <w:tcW w:w="1043" w:type="dxa"/>
            <w:tcBorders>
              <w:top w:val="nil"/>
              <w:left w:val="nil"/>
              <w:bottom w:val="single" w:sz="4" w:space="0" w:color="auto"/>
              <w:right w:val="single" w:sz="4" w:space="0" w:color="auto"/>
            </w:tcBorders>
            <w:shd w:val="clear" w:color="000000" w:fill="FFFFFF"/>
            <w:noWrap/>
            <w:hideMark/>
          </w:tcPr>
          <w:p w14:paraId="2741A491" w14:textId="77777777" w:rsidR="002A7A3A" w:rsidRPr="00A219DB" w:rsidRDefault="002A7A3A" w:rsidP="002D569B">
            <w:pPr>
              <w:spacing w:after="0" w:line="240" w:lineRule="auto"/>
              <w:jc w:val="right"/>
              <w:rPr>
                <w:rFonts w:ascii="Times New Roman" w:hAnsi="Times New Roman"/>
                <w:b/>
                <w:bCs/>
                <w:sz w:val="24"/>
                <w:szCs w:val="24"/>
                <w:lang w:val="ro-MD" w:eastAsia="ru-RU"/>
              </w:rPr>
            </w:pPr>
          </w:p>
          <w:p w14:paraId="1C53200D"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17,1%</w:t>
            </w:r>
          </w:p>
        </w:tc>
        <w:tc>
          <w:tcPr>
            <w:tcW w:w="1140" w:type="dxa"/>
            <w:tcBorders>
              <w:top w:val="nil"/>
              <w:left w:val="nil"/>
              <w:bottom w:val="single" w:sz="4" w:space="0" w:color="auto"/>
              <w:right w:val="single" w:sz="4" w:space="0" w:color="auto"/>
            </w:tcBorders>
            <w:shd w:val="clear" w:color="000000" w:fill="FFFFFF"/>
            <w:noWrap/>
            <w:hideMark/>
          </w:tcPr>
          <w:p w14:paraId="3C01503D" w14:textId="77777777" w:rsidR="002A7A3A" w:rsidRPr="00A219DB" w:rsidRDefault="002A7A3A" w:rsidP="002D569B">
            <w:pPr>
              <w:spacing w:after="0" w:line="240" w:lineRule="auto"/>
              <w:jc w:val="right"/>
              <w:rPr>
                <w:rFonts w:ascii="Times New Roman" w:hAnsi="Times New Roman"/>
                <w:b/>
                <w:bCs/>
                <w:sz w:val="24"/>
                <w:szCs w:val="24"/>
                <w:lang w:val="ro-MD" w:eastAsia="ru-RU"/>
              </w:rPr>
            </w:pPr>
          </w:p>
          <w:p w14:paraId="197012DF" w14:textId="77777777" w:rsidR="002A7A3A" w:rsidRPr="00A219DB" w:rsidRDefault="002A7A3A" w:rsidP="002D569B">
            <w:pPr>
              <w:spacing w:after="0" w:line="240" w:lineRule="auto"/>
              <w:jc w:val="right"/>
              <w:rPr>
                <w:rFonts w:ascii="Times New Roman" w:hAnsi="Times New Roman"/>
                <w:b/>
                <w:bCs/>
                <w:sz w:val="24"/>
                <w:szCs w:val="24"/>
                <w:lang w:val="ro-MD" w:eastAsia="ru-RU"/>
              </w:rPr>
            </w:pPr>
            <w:r w:rsidRPr="00A219DB">
              <w:rPr>
                <w:rFonts w:ascii="Times New Roman" w:hAnsi="Times New Roman"/>
                <w:b/>
                <w:bCs/>
                <w:sz w:val="24"/>
                <w:szCs w:val="24"/>
                <w:lang w:val="ro-MD" w:eastAsia="ru-RU"/>
              </w:rPr>
              <w:t>4,6%</w:t>
            </w:r>
          </w:p>
        </w:tc>
      </w:tr>
    </w:tbl>
    <w:p w14:paraId="7B066DC3" w14:textId="77777777" w:rsidR="002A7A3A" w:rsidRPr="00A219DB" w:rsidRDefault="002A7A3A" w:rsidP="002A7A3A">
      <w:pPr>
        <w:pStyle w:val="a4"/>
        <w:spacing w:after="0"/>
        <w:ind w:right="567"/>
        <w:rPr>
          <w:rFonts w:ascii="Times New Roman" w:hAnsi="Times New Roman"/>
          <w:sz w:val="22"/>
          <w:szCs w:val="22"/>
          <w:lang w:val="ro-MD" w:eastAsia="en-US"/>
        </w:rPr>
      </w:pPr>
    </w:p>
    <w:p w14:paraId="302C3553" w14:textId="77777777" w:rsidR="00571156" w:rsidRDefault="00571156" w:rsidP="002A7A3A">
      <w:pPr>
        <w:pStyle w:val="a4"/>
        <w:spacing w:after="0"/>
        <w:ind w:left="1134" w:right="567"/>
        <w:rPr>
          <w:rFonts w:ascii="Times New Roman" w:hAnsi="Times New Roman"/>
          <w:sz w:val="22"/>
          <w:szCs w:val="22"/>
          <w:lang w:val="ro-MD" w:eastAsia="en-US"/>
        </w:rPr>
      </w:pPr>
    </w:p>
    <w:p w14:paraId="727ECEA0" w14:textId="77777777" w:rsidR="00571156" w:rsidRDefault="00571156" w:rsidP="00571156">
      <w:pPr>
        <w:pStyle w:val="a4"/>
        <w:spacing w:after="0"/>
        <w:ind w:right="567" w:firstLine="567"/>
        <w:rPr>
          <w:rFonts w:ascii="Times New Roman" w:hAnsi="Times New Roman"/>
          <w:sz w:val="22"/>
          <w:szCs w:val="22"/>
          <w:lang w:val="ro-MD" w:eastAsia="en-US"/>
        </w:rPr>
      </w:pPr>
    </w:p>
    <w:p w14:paraId="40ADDEEE" w14:textId="02BEF30C" w:rsidR="002A7A3A" w:rsidRPr="00A219DB" w:rsidRDefault="002A7A3A" w:rsidP="00571156">
      <w:pPr>
        <w:pStyle w:val="a4"/>
        <w:spacing w:after="0"/>
        <w:ind w:right="567" w:firstLine="567"/>
        <w:rPr>
          <w:rFonts w:ascii="Times New Roman" w:hAnsi="Times New Roman"/>
          <w:sz w:val="22"/>
          <w:szCs w:val="22"/>
          <w:lang w:val="ro-MD" w:eastAsia="en-US"/>
        </w:rPr>
      </w:pPr>
      <w:r w:rsidRPr="00A219DB">
        <w:rPr>
          <w:rFonts w:ascii="Times New Roman" w:hAnsi="Times New Roman"/>
          <w:sz w:val="22"/>
          <w:szCs w:val="22"/>
          <w:lang w:val="ro-MD" w:eastAsia="en-US"/>
        </w:rPr>
        <w:lastRenderedPageBreak/>
        <w:t>Sub aspect grafic, evoluția volumului de activitate în anii 2018 - 2020 se prezintă în tabelul următor</w:t>
      </w:r>
    </w:p>
    <w:p w14:paraId="694E2B7F" w14:textId="77777777" w:rsidR="002A7A3A" w:rsidRPr="00A219DB" w:rsidRDefault="002A7A3A" w:rsidP="002A7A3A">
      <w:pPr>
        <w:pStyle w:val="a4"/>
        <w:spacing w:after="0"/>
        <w:ind w:left="1134" w:right="567"/>
        <w:rPr>
          <w:rFonts w:ascii="Times New Roman" w:hAnsi="Times New Roman"/>
          <w:sz w:val="22"/>
          <w:szCs w:val="22"/>
          <w:lang w:val="ro-MD" w:eastAsia="en-US"/>
        </w:rPr>
      </w:pPr>
    </w:p>
    <w:p w14:paraId="76E79B92" w14:textId="77777777" w:rsidR="002A7A3A" w:rsidRPr="00335C03" w:rsidRDefault="002A7A3A" w:rsidP="002A7A3A">
      <w:pPr>
        <w:pStyle w:val="a4"/>
        <w:spacing w:after="0"/>
        <w:ind w:left="1134" w:right="567"/>
        <w:rPr>
          <w:rFonts w:ascii="Times New Roman" w:hAnsi="Times New Roman"/>
          <w:b/>
          <w:bCs/>
          <w:i/>
          <w:sz w:val="22"/>
          <w:szCs w:val="22"/>
          <w:lang w:val="ro-MD" w:eastAsia="en-US"/>
        </w:rPr>
      </w:pPr>
      <w:r w:rsidRPr="00335C03">
        <w:rPr>
          <w:rFonts w:ascii="Times New Roman" w:hAnsi="Times New Roman"/>
          <w:b/>
          <w:bCs/>
          <w:i/>
          <w:sz w:val="22"/>
          <w:szCs w:val="22"/>
          <w:lang w:val="ro-MD" w:eastAsia="en-US"/>
        </w:rPr>
        <w:t>Tabelul  nr.2: Volumul de activitate în anii 2018, 2019, 2020</w:t>
      </w:r>
    </w:p>
    <w:p w14:paraId="2E483A95" w14:textId="77777777" w:rsidR="002A7A3A" w:rsidRPr="00A219DB" w:rsidRDefault="002A7A3A" w:rsidP="002A7A3A">
      <w:pPr>
        <w:pStyle w:val="a4"/>
        <w:spacing w:after="0"/>
        <w:ind w:left="1134" w:right="567"/>
        <w:rPr>
          <w:rFonts w:ascii="Times New Roman" w:hAnsi="Times New Roman"/>
          <w:i/>
          <w:sz w:val="22"/>
          <w:szCs w:val="22"/>
          <w:lang w:val="ro-MD" w:eastAsia="en-US"/>
        </w:rPr>
      </w:pPr>
    </w:p>
    <w:p w14:paraId="23FC3A6D" w14:textId="288EC4A8" w:rsidR="002A7A3A" w:rsidRPr="00A219DB" w:rsidRDefault="002A7A3A" w:rsidP="002A7A3A">
      <w:pPr>
        <w:pStyle w:val="a4"/>
        <w:spacing w:after="0"/>
        <w:ind w:right="567"/>
        <w:rPr>
          <w:noProof/>
          <w:lang w:val="ro-MD" w:eastAsia="ru-RU"/>
        </w:rPr>
      </w:pPr>
      <w:r w:rsidRPr="00A219DB">
        <w:rPr>
          <w:noProof/>
          <w:lang w:val="ru-RU" w:eastAsia="ru-RU"/>
        </w:rPr>
        <w:drawing>
          <wp:inline distT="0" distB="0" distL="0" distR="0" wp14:anchorId="1B270A42" wp14:editId="71AEC456">
            <wp:extent cx="6362700" cy="291465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Start w:id="0" w:name="_GoBack"/>
      <w:bookmarkEnd w:id="0"/>
    </w:p>
    <w:p w14:paraId="726E33CA" w14:textId="77777777" w:rsidR="00571156" w:rsidRDefault="00571156" w:rsidP="00347C4C">
      <w:pPr>
        <w:pStyle w:val="a7"/>
      </w:pPr>
      <w:r w:rsidRPr="00A219DB">
        <w:t xml:space="preserve">Comparînd activitatea din anul 2020 cu anii precedenți, observăm că numărul de cauze </w:t>
      </w:r>
      <w:r>
        <w:rPr>
          <w:b/>
        </w:rPr>
        <w:t>aflate în procedură</w:t>
      </w:r>
      <w:r w:rsidRPr="00A219DB">
        <w:t xml:space="preserve"> în anul 2020 constituie </w:t>
      </w:r>
      <w:r>
        <w:t>2083</w:t>
      </w:r>
      <w:r w:rsidRPr="00A219DB">
        <w:t xml:space="preserve"> cauze, comparativ acest indice este </w:t>
      </w:r>
      <w:r w:rsidRPr="00A219DB">
        <w:rPr>
          <w:rFonts w:ascii="Calibri" w:hAnsi="Calibri" w:cs="Calibri"/>
        </w:rPr>
        <w:t>î</w:t>
      </w:r>
      <w:r w:rsidRPr="00A219DB">
        <w:t xml:space="preserve">n creştere cu </w:t>
      </w:r>
      <w:r>
        <w:t>14,3</w:t>
      </w:r>
      <w:r w:rsidRPr="00A219DB">
        <w:t xml:space="preserve"> % faţǎ de an</w:t>
      </w:r>
      <w:r>
        <w:t>ii</w:t>
      </w:r>
      <w:r w:rsidRPr="00A219DB">
        <w:t xml:space="preserve"> 2018 și 2019.</w:t>
      </w:r>
    </w:p>
    <w:p w14:paraId="1985A558" w14:textId="77777777" w:rsidR="00571156" w:rsidRDefault="00571156" w:rsidP="00347C4C">
      <w:pPr>
        <w:pStyle w:val="a7"/>
      </w:pPr>
      <w:r w:rsidRPr="00A219DB">
        <w:t xml:space="preserve">În privința cauzelor </w:t>
      </w:r>
      <w:r w:rsidRPr="00A219DB">
        <w:rPr>
          <w:b/>
        </w:rPr>
        <w:t>soluționate -</w:t>
      </w:r>
      <w:r w:rsidRPr="00A219DB">
        <w:t>1818 cauze, de asemenea este observatǎ o creștere cu 14,2% în 2018 și 13,2% în 2019.</w:t>
      </w:r>
    </w:p>
    <w:p w14:paraId="1F41DC79" w14:textId="77777777" w:rsidR="00571156" w:rsidRDefault="00571156" w:rsidP="00347C4C">
      <w:pPr>
        <w:pStyle w:val="a7"/>
      </w:pPr>
      <w:r w:rsidRPr="00A219DB">
        <w:t xml:space="preserve">Numărul dosarelor </w:t>
      </w:r>
      <w:r w:rsidRPr="00A219DB">
        <w:rPr>
          <w:b/>
        </w:rPr>
        <w:t>pendinte la sfîrșitul perioadei,</w:t>
      </w:r>
      <w:r w:rsidRPr="00A219DB">
        <w:t xml:space="preserve"> raportate in 2020, ne indică 15,1% mai mult ca în 2018 și cu 21,5% în 2019. </w:t>
      </w:r>
    </w:p>
    <w:p w14:paraId="192498BC" w14:textId="1B2ED282" w:rsidR="00571156" w:rsidRDefault="00571156" w:rsidP="00347C4C">
      <w:pPr>
        <w:pStyle w:val="a7"/>
      </w:pPr>
      <w:r w:rsidRPr="00A219DB">
        <w:t>Indicii respectivi, relevă o îmbunătățire a eficienței instanței cu referire la numărul cauzelor examinate, atât față de 2018 cit și față de 2019.</w:t>
      </w:r>
    </w:p>
    <w:p w14:paraId="6E4E7361" w14:textId="77777777" w:rsidR="00571156" w:rsidRPr="00571156" w:rsidRDefault="00571156" w:rsidP="00571156">
      <w:pPr>
        <w:pStyle w:val="a4"/>
        <w:spacing w:after="0"/>
        <w:rPr>
          <w:lang w:val="ro-MD" w:eastAsia="en-US"/>
        </w:rPr>
      </w:pPr>
    </w:p>
    <w:p w14:paraId="1856CCAA" w14:textId="10AA3FE8" w:rsidR="00571156" w:rsidRDefault="00571156" w:rsidP="00571156">
      <w:pPr>
        <w:pStyle w:val="a8"/>
        <w:ind w:left="360" w:right="567" w:firstLine="567"/>
        <w:jc w:val="center"/>
        <w:rPr>
          <w:rFonts w:ascii="Times New Roman"/>
          <w:b/>
          <w:sz w:val="28"/>
          <w:szCs w:val="28"/>
          <w:lang w:val="ro-MD"/>
        </w:rPr>
      </w:pPr>
      <w:r w:rsidRPr="00A219DB">
        <w:rPr>
          <w:rFonts w:ascii="Times New Roman"/>
          <w:b/>
          <w:sz w:val="28"/>
          <w:szCs w:val="28"/>
          <w:lang w:val="ro-MD"/>
        </w:rPr>
        <w:t>Ponderea cauzelor aflate în procedură, pe categorii de cauze</w:t>
      </w:r>
    </w:p>
    <w:p w14:paraId="6E624EB1" w14:textId="77777777" w:rsidR="00571156" w:rsidRDefault="00571156" w:rsidP="00571156">
      <w:pPr>
        <w:pStyle w:val="a8"/>
        <w:spacing w:after="0" w:line="240" w:lineRule="auto"/>
        <w:ind w:left="360" w:right="567" w:firstLine="567"/>
        <w:jc w:val="center"/>
        <w:rPr>
          <w:rFonts w:ascii="Times New Roman"/>
          <w:b/>
          <w:sz w:val="28"/>
          <w:szCs w:val="28"/>
          <w:lang w:val="ro-MD"/>
        </w:rPr>
      </w:pPr>
    </w:p>
    <w:p w14:paraId="30498CC5" w14:textId="77777777" w:rsidR="00571156" w:rsidRDefault="00571156" w:rsidP="00571156">
      <w:pPr>
        <w:pStyle w:val="a8"/>
        <w:ind w:left="0" w:right="-2" w:firstLine="567"/>
        <w:jc w:val="center"/>
        <w:rPr>
          <w:rFonts w:ascii="Times New Roman"/>
          <w:sz w:val="24"/>
          <w:szCs w:val="24"/>
          <w:lang w:val="ro-MD"/>
        </w:rPr>
      </w:pPr>
      <w:r w:rsidRPr="00A219DB">
        <w:rPr>
          <w:rFonts w:ascii="Times New Roman"/>
          <w:sz w:val="24"/>
          <w:szCs w:val="24"/>
          <w:lang w:val="ro-MD"/>
        </w:rPr>
        <w:t xml:space="preserve">Sub aspectul categoriilor de </w:t>
      </w:r>
      <w:r w:rsidRPr="00A219DB">
        <w:rPr>
          <w:rFonts w:ascii="Times New Roman"/>
          <w:b/>
          <w:sz w:val="24"/>
          <w:szCs w:val="24"/>
          <w:lang w:val="ro-MD"/>
        </w:rPr>
        <w:t>cauze aflate în procedura a</w:t>
      </w:r>
      <w:r w:rsidRPr="00A219DB">
        <w:rPr>
          <w:rFonts w:ascii="Times New Roman"/>
          <w:sz w:val="24"/>
          <w:szCs w:val="24"/>
          <w:lang w:val="ro-MD"/>
        </w:rPr>
        <w:t xml:space="preserve"> Curții de Apel Cahul, în perioada</w:t>
      </w:r>
    </w:p>
    <w:p w14:paraId="33CBDBB5" w14:textId="5D6CC189" w:rsidR="00571156" w:rsidRPr="00571156" w:rsidRDefault="00571156" w:rsidP="00571156">
      <w:pPr>
        <w:pStyle w:val="a8"/>
        <w:ind w:left="0" w:right="-2" w:firstLine="567"/>
        <w:jc w:val="center"/>
        <w:rPr>
          <w:rFonts w:ascii="Times New Roman"/>
          <w:b/>
          <w:sz w:val="28"/>
          <w:szCs w:val="28"/>
          <w:lang w:val="ro-MD"/>
        </w:rPr>
      </w:pPr>
      <w:r w:rsidRPr="00A219DB">
        <w:rPr>
          <w:rFonts w:ascii="Times New Roman"/>
          <w:sz w:val="24"/>
          <w:szCs w:val="24"/>
          <w:lang w:val="ro-MD"/>
        </w:rPr>
        <w:t>anilor 2018-2020, situația se prezintă în modul următor:</w:t>
      </w:r>
    </w:p>
    <w:p w14:paraId="2EB877F6" w14:textId="77777777" w:rsidR="00571156" w:rsidRPr="0043553E" w:rsidRDefault="00571156" w:rsidP="00571156">
      <w:pPr>
        <w:ind w:left="1134" w:right="567"/>
        <w:jc w:val="both"/>
        <w:rPr>
          <w:rFonts w:ascii="Times New Roman"/>
          <w:b/>
          <w:bCs/>
          <w:i/>
          <w:sz w:val="24"/>
          <w:szCs w:val="24"/>
          <w:lang w:val="ro-MD"/>
        </w:rPr>
      </w:pPr>
      <w:r w:rsidRPr="0043553E">
        <w:rPr>
          <w:rFonts w:ascii="Times New Roman"/>
          <w:b/>
          <w:bCs/>
          <w:i/>
          <w:sz w:val="24"/>
          <w:szCs w:val="24"/>
          <w:lang w:val="ro-MD"/>
        </w:rPr>
        <w:t xml:space="preserve">Tabelul nr. 3: Volumul cauzelor aflate </w:t>
      </w:r>
      <w:r w:rsidRPr="0043553E">
        <w:rPr>
          <w:rFonts w:ascii="Times New Roman"/>
          <w:b/>
          <w:bCs/>
          <w:i/>
          <w:sz w:val="24"/>
          <w:szCs w:val="24"/>
          <w:lang w:val="ro-MD"/>
        </w:rPr>
        <w:t>î</w:t>
      </w:r>
      <w:r w:rsidRPr="0043553E">
        <w:rPr>
          <w:rFonts w:ascii="Times New Roman"/>
          <w:b/>
          <w:bCs/>
          <w:i/>
          <w:sz w:val="24"/>
          <w:szCs w:val="24"/>
          <w:lang w:val="ro-MD"/>
        </w:rPr>
        <w:t>n procedur</w:t>
      </w:r>
      <w:r w:rsidRPr="0043553E">
        <w:rPr>
          <w:rFonts w:ascii="Times New Roman"/>
          <w:b/>
          <w:bCs/>
          <w:i/>
          <w:sz w:val="24"/>
          <w:szCs w:val="24"/>
          <w:lang w:val="ro-MD"/>
        </w:rPr>
        <w:t>ă</w:t>
      </w:r>
      <w:r w:rsidRPr="0043553E">
        <w:rPr>
          <w:rFonts w:ascii="Times New Roman"/>
          <w:b/>
          <w:bCs/>
          <w:i/>
          <w:sz w:val="24"/>
          <w:szCs w:val="24"/>
          <w:lang w:val="ro-MD"/>
        </w:rPr>
        <w:t xml:space="preserve">, per categorii, </w:t>
      </w:r>
      <w:r w:rsidRPr="0043553E">
        <w:rPr>
          <w:rFonts w:ascii="Times New Roman"/>
          <w:b/>
          <w:bCs/>
          <w:i/>
          <w:sz w:val="24"/>
          <w:szCs w:val="24"/>
          <w:lang w:val="ro-MD"/>
        </w:rPr>
        <w:t>î</w:t>
      </w:r>
      <w:r w:rsidRPr="0043553E">
        <w:rPr>
          <w:rFonts w:ascii="Times New Roman"/>
          <w:b/>
          <w:bCs/>
          <w:i/>
          <w:sz w:val="24"/>
          <w:szCs w:val="24"/>
          <w:lang w:val="ro-MD"/>
        </w:rPr>
        <w:t xml:space="preserve">ntre 2018-2020 </w:t>
      </w:r>
      <w:r>
        <w:rPr>
          <w:rFonts w:ascii="Times New Roman"/>
          <w:b/>
          <w:bCs/>
          <w:i/>
          <w:sz w:val="24"/>
          <w:szCs w:val="24"/>
          <w:lang w:val="ro-MD"/>
        </w:rPr>
        <w:t xml:space="preserve"> </w:t>
      </w:r>
    </w:p>
    <w:tbl>
      <w:tblPr>
        <w:tblW w:w="9528" w:type="dxa"/>
        <w:tblInd w:w="137" w:type="dxa"/>
        <w:tblLook w:val="04A0" w:firstRow="1" w:lastRow="0" w:firstColumn="1" w:lastColumn="0" w:noHBand="0" w:noVBand="1"/>
      </w:tblPr>
      <w:tblGrid>
        <w:gridCol w:w="2331"/>
        <w:gridCol w:w="1084"/>
        <w:gridCol w:w="1084"/>
        <w:gridCol w:w="1084"/>
        <w:gridCol w:w="1225"/>
        <w:gridCol w:w="1225"/>
        <w:gridCol w:w="1495"/>
      </w:tblGrid>
      <w:tr w:rsidR="00571156" w:rsidRPr="00A219DB" w14:paraId="048C160F" w14:textId="77777777" w:rsidTr="00571156">
        <w:trPr>
          <w:trHeight w:val="501"/>
        </w:trPr>
        <w:tc>
          <w:tcPr>
            <w:tcW w:w="233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DEDD99" w14:textId="77777777" w:rsidR="00571156" w:rsidRPr="00A219DB" w:rsidRDefault="00571156" w:rsidP="002D569B">
            <w:pPr>
              <w:spacing w:after="0" w:line="240" w:lineRule="auto"/>
              <w:rPr>
                <w:rFonts w:ascii="Times New Roman"/>
                <w:b/>
                <w:bCs/>
                <w:lang w:val="ro-MD" w:eastAsia="ru-RU"/>
              </w:rPr>
            </w:pPr>
            <w:r>
              <w:rPr>
                <w:rFonts w:ascii="Times New Roman"/>
                <w:b/>
                <w:bCs/>
                <w:lang w:val="ro-MD" w:eastAsia="ru-RU"/>
              </w:rPr>
              <w:t>Tipul de cauze</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1E8307F"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2018</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39919A1"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2019</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37916BF"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2020</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376A8563"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2018 (%)</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0C8C054E"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2019 (%)</w:t>
            </w:r>
          </w:p>
        </w:tc>
        <w:tc>
          <w:tcPr>
            <w:tcW w:w="149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72B428BF"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2020 (%)</w:t>
            </w:r>
          </w:p>
        </w:tc>
      </w:tr>
      <w:tr w:rsidR="00571156" w:rsidRPr="00A219DB" w14:paraId="05484DD0" w14:textId="77777777" w:rsidTr="00571156">
        <w:trPr>
          <w:trHeight w:val="501"/>
        </w:trPr>
        <w:tc>
          <w:tcPr>
            <w:tcW w:w="233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36FBDE" w14:textId="77777777" w:rsidR="00571156" w:rsidRPr="00A219DB" w:rsidRDefault="00571156"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civile</w:t>
            </w:r>
          </w:p>
          <w:p w14:paraId="116932E4" w14:textId="77777777" w:rsidR="00571156" w:rsidRPr="00A219DB" w:rsidRDefault="00571156" w:rsidP="002D569B">
            <w:pPr>
              <w:spacing w:after="0" w:line="240" w:lineRule="auto"/>
              <w:rPr>
                <w:rFonts w:ascii="Times New Roman" w:hAnsi="Times New Roman"/>
                <w:b/>
                <w:bCs/>
                <w:lang w:val="ro-MD" w:eastAsia="ru-RU"/>
              </w:rPr>
            </w:pPr>
          </w:p>
          <w:p w14:paraId="0BD213FF" w14:textId="77777777" w:rsidR="00571156" w:rsidRPr="00A219DB" w:rsidRDefault="00571156" w:rsidP="002D569B">
            <w:pPr>
              <w:spacing w:after="0" w:line="240" w:lineRule="auto"/>
              <w:rPr>
                <w:rFonts w:ascii="Times New Roman"/>
                <w:b/>
                <w:bCs/>
                <w:lang w:val="ro-MD" w:eastAsia="ru-RU"/>
              </w:rPr>
            </w:pP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555D5D6"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461</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8F92F10"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428</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A8F34C2"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416</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52E7B5F1"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26%</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1E3BB29F"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24%</w:t>
            </w:r>
          </w:p>
        </w:tc>
        <w:tc>
          <w:tcPr>
            <w:tcW w:w="149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73404FF5"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20%</w:t>
            </w:r>
          </w:p>
        </w:tc>
      </w:tr>
      <w:tr w:rsidR="00571156" w:rsidRPr="00A219DB" w14:paraId="788F3347" w14:textId="77777777" w:rsidTr="00571156">
        <w:trPr>
          <w:trHeight w:val="501"/>
        </w:trPr>
        <w:tc>
          <w:tcPr>
            <w:tcW w:w="233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DDD5F1" w14:textId="77777777" w:rsidR="00571156" w:rsidRPr="00A219DB" w:rsidRDefault="00571156"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comerciale</w:t>
            </w:r>
          </w:p>
          <w:p w14:paraId="76654CEC" w14:textId="77777777" w:rsidR="00571156" w:rsidRPr="00A219DB" w:rsidRDefault="00571156" w:rsidP="002D569B">
            <w:pPr>
              <w:spacing w:after="0" w:line="240" w:lineRule="auto"/>
              <w:rPr>
                <w:rFonts w:ascii="Times New Roman"/>
                <w:b/>
                <w:bCs/>
                <w:lang w:val="ro-MD" w:eastAsia="ru-RU"/>
              </w:rPr>
            </w:pP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744F9CA"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91</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C2F7E32"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75</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5090666"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61</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264766C6"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5%</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1C3E8D1A"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4%</w:t>
            </w:r>
          </w:p>
        </w:tc>
        <w:tc>
          <w:tcPr>
            <w:tcW w:w="149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26B7E9C0"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3%</w:t>
            </w:r>
          </w:p>
        </w:tc>
      </w:tr>
      <w:tr w:rsidR="00571156" w:rsidRPr="00A219DB" w14:paraId="0F43A596" w14:textId="77777777" w:rsidTr="00571156">
        <w:trPr>
          <w:trHeight w:val="501"/>
        </w:trPr>
        <w:tc>
          <w:tcPr>
            <w:tcW w:w="233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AF2467" w14:textId="77777777" w:rsidR="00571156" w:rsidRPr="00A219DB" w:rsidRDefault="00571156"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insolvabilitate</w:t>
            </w:r>
          </w:p>
          <w:p w14:paraId="621455C3" w14:textId="77777777" w:rsidR="00571156" w:rsidRPr="00A219DB" w:rsidRDefault="00571156" w:rsidP="002D569B">
            <w:pPr>
              <w:spacing w:after="0" w:line="240" w:lineRule="auto"/>
              <w:rPr>
                <w:rFonts w:ascii="Times New Roman" w:hAnsi="Times New Roman"/>
                <w:b/>
                <w:bCs/>
                <w:lang w:val="ro-MD" w:eastAsia="ru-RU"/>
              </w:rPr>
            </w:pP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12B0B95"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103</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B6822A1"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22</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505499D"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36</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46E5DEAE"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6%</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7B9CA075"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w:t>
            </w:r>
          </w:p>
        </w:tc>
        <w:tc>
          <w:tcPr>
            <w:tcW w:w="149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42C4B43F"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w:t>
            </w:r>
          </w:p>
        </w:tc>
      </w:tr>
      <w:tr w:rsidR="00571156" w:rsidRPr="00A219DB" w14:paraId="32AD633D" w14:textId="77777777" w:rsidTr="00571156">
        <w:trPr>
          <w:trHeight w:val="610"/>
        </w:trPr>
        <w:tc>
          <w:tcPr>
            <w:tcW w:w="233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343705" w14:textId="77777777" w:rsidR="00571156" w:rsidRPr="00A219DB" w:rsidRDefault="00571156"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de contencios administrativ</w:t>
            </w:r>
          </w:p>
          <w:p w14:paraId="3B2F9841" w14:textId="77777777" w:rsidR="00571156" w:rsidRPr="00A219DB" w:rsidRDefault="00571156" w:rsidP="002D569B">
            <w:pPr>
              <w:pStyle w:val="a8"/>
              <w:spacing w:after="0" w:line="240" w:lineRule="auto"/>
              <w:rPr>
                <w:rFonts w:ascii="Times New Roman"/>
                <w:b/>
                <w:bCs/>
                <w:lang w:val="ro-MD" w:eastAsia="ru-RU"/>
              </w:rPr>
            </w:pP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BF0BC7F"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100</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D7C2788"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120</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F056C9E"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118</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7E24A590"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6%</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5EF0800B"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7%</w:t>
            </w:r>
          </w:p>
        </w:tc>
        <w:tc>
          <w:tcPr>
            <w:tcW w:w="149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4B6D1437"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6%</w:t>
            </w:r>
          </w:p>
        </w:tc>
      </w:tr>
      <w:tr w:rsidR="00571156" w:rsidRPr="00A219DB" w14:paraId="4ACEED48" w14:textId="77777777" w:rsidTr="00571156">
        <w:trPr>
          <w:trHeight w:val="501"/>
        </w:trPr>
        <w:tc>
          <w:tcPr>
            <w:tcW w:w="233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4EC28" w14:textId="77777777" w:rsidR="00571156" w:rsidRPr="00A219DB" w:rsidRDefault="00571156"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penale</w:t>
            </w:r>
          </w:p>
          <w:p w14:paraId="5DA4A1EE" w14:textId="77777777" w:rsidR="00571156" w:rsidRPr="00A219DB" w:rsidRDefault="00571156" w:rsidP="002D569B">
            <w:pPr>
              <w:spacing w:after="0" w:line="240" w:lineRule="auto"/>
              <w:rPr>
                <w:rFonts w:ascii="Times New Roman" w:hAnsi="Times New Roman"/>
                <w:b/>
                <w:bCs/>
                <w:lang w:val="ro-MD" w:eastAsia="ru-RU"/>
              </w:rPr>
            </w:pP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FE51AC7"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872</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3410CAC"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973</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1900E28"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1 234</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1E7BEF0C"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49%</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138E6306"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54%</w:t>
            </w:r>
          </w:p>
        </w:tc>
        <w:tc>
          <w:tcPr>
            <w:tcW w:w="149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5879917A"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59%</w:t>
            </w:r>
          </w:p>
        </w:tc>
      </w:tr>
      <w:tr w:rsidR="00571156" w:rsidRPr="00A219DB" w14:paraId="03239F20" w14:textId="77777777" w:rsidTr="00571156">
        <w:trPr>
          <w:trHeight w:val="501"/>
        </w:trPr>
        <w:tc>
          <w:tcPr>
            <w:tcW w:w="233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1B593" w14:textId="77777777" w:rsidR="00571156" w:rsidRPr="00A219DB" w:rsidRDefault="00571156"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Total cauze contravenționale</w:t>
            </w:r>
          </w:p>
          <w:p w14:paraId="484FC11D" w14:textId="77777777" w:rsidR="00571156" w:rsidRPr="00A219DB" w:rsidRDefault="00571156" w:rsidP="002D569B">
            <w:pPr>
              <w:spacing w:after="0" w:line="240" w:lineRule="auto"/>
              <w:rPr>
                <w:rFonts w:ascii="Times New Roman" w:hAnsi="Times New Roman"/>
                <w:b/>
                <w:bCs/>
                <w:lang w:val="ro-MD" w:eastAsia="ru-RU"/>
              </w:rPr>
            </w:pPr>
          </w:p>
          <w:p w14:paraId="36B040FD" w14:textId="77777777" w:rsidR="00571156" w:rsidRPr="00A219DB" w:rsidRDefault="00571156" w:rsidP="002D569B">
            <w:pPr>
              <w:spacing w:after="0" w:line="240" w:lineRule="auto"/>
              <w:rPr>
                <w:rFonts w:ascii="Times New Roman" w:hAnsi="Times New Roman"/>
                <w:b/>
                <w:bCs/>
                <w:lang w:val="ro-MD" w:eastAsia="ru-RU"/>
              </w:rPr>
            </w:pP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2BA0061"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158</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4AD543E"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168</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885A18C"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218</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59933539"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9%</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7F6DC2D7"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9%</w:t>
            </w:r>
          </w:p>
        </w:tc>
        <w:tc>
          <w:tcPr>
            <w:tcW w:w="149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30D8AAF7"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10%</w:t>
            </w:r>
          </w:p>
        </w:tc>
      </w:tr>
      <w:tr w:rsidR="00571156" w:rsidRPr="00A219DB" w14:paraId="16E74F39" w14:textId="77777777" w:rsidTr="00571156">
        <w:trPr>
          <w:trHeight w:val="501"/>
        </w:trPr>
        <w:tc>
          <w:tcPr>
            <w:tcW w:w="233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9C367E" w14:textId="77777777" w:rsidR="00571156" w:rsidRPr="00A219DB" w:rsidRDefault="00571156" w:rsidP="002D569B">
            <w:pPr>
              <w:spacing w:after="0" w:line="240" w:lineRule="auto"/>
              <w:rPr>
                <w:rFonts w:ascii="Times New Roman" w:hAnsi="Times New Roman"/>
                <w:b/>
                <w:bCs/>
                <w:lang w:val="ro-MD" w:eastAsia="ru-RU"/>
              </w:rPr>
            </w:pPr>
            <w:r w:rsidRPr="00A219DB">
              <w:rPr>
                <w:rFonts w:ascii="Times New Roman" w:hAnsi="Times New Roman"/>
                <w:b/>
                <w:bCs/>
                <w:lang w:val="ro-MD" w:eastAsia="ru-RU"/>
              </w:rPr>
              <w:t xml:space="preserve">Totalul cauze </w:t>
            </w:r>
          </w:p>
          <w:p w14:paraId="6BE3252A" w14:textId="77777777" w:rsidR="00571156" w:rsidRPr="00A219DB" w:rsidRDefault="00571156" w:rsidP="002D569B">
            <w:pPr>
              <w:pStyle w:val="a8"/>
              <w:spacing w:after="0" w:line="240" w:lineRule="auto"/>
              <w:rPr>
                <w:rFonts w:ascii="Times New Roman"/>
                <w:b/>
                <w:bCs/>
                <w:lang w:val="ro-MD" w:eastAsia="ru-RU"/>
              </w:rPr>
            </w:pP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4159F3C"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1 785</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C8A630A"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1 786</w:t>
            </w:r>
          </w:p>
        </w:tc>
        <w:tc>
          <w:tcPr>
            <w:tcW w:w="108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40650D8"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2 083</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315862FC"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100%</w:t>
            </w:r>
          </w:p>
        </w:tc>
        <w:tc>
          <w:tcPr>
            <w:tcW w:w="122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26DA2268"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100%</w:t>
            </w:r>
          </w:p>
        </w:tc>
        <w:tc>
          <w:tcPr>
            <w:tcW w:w="1495"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1966C6DA" w14:textId="77777777" w:rsidR="00571156" w:rsidRPr="00A219DB" w:rsidRDefault="00571156" w:rsidP="002D569B">
            <w:pPr>
              <w:spacing w:after="0" w:line="240" w:lineRule="auto"/>
              <w:jc w:val="center"/>
              <w:rPr>
                <w:rFonts w:ascii="Times New Roman" w:hAnsi="Times New Roman"/>
                <w:b/>
                <w:bCs/>
                <w:sz w:val="24"/>
                <w:szCs w:val="24"/>
                <w:lang w:val="ro-MD"/>
              </w:rPr>
            </w:pPr>
            <w:r w:rsidRPr="00A219DB">
              <w:rPr>
                <w:rFonts w:ascii="Times New Roman" w:hAnsi="Times New Roman"/>
                <w:b/>
                <w:bCs/>
                <w:sz w:val="24"/>
                <w:szCs w:val="24"/>
                <w:lang w:val="ro-MD"/>
              </w:rPr>
              <w:t>100%</w:t>
            </w:r>
          </w:p>
        </w:tc>
      </w:tr>
    </w:tbl>
    <w:p w14:paraId="2E7EC1DB" w14:textId="77777777" w:rsidR="00571156" w:rsidRPr="00A219DB" w:rsidRDefault="00571156" w:rsidP="00571156">
      <w:pPr>
        <w:pStyle w:val="a4"/>
        <w:spacing w:after="0"/>
        <w:ind w:right="-2"/>
        <w:rPr>
          <w:rFonts w:ascii="Times New Roman" w:hAnsi="Times New Roman"/>
          <w:i/>
          <w:sz w:val="22"/>
          <w:szCs w:val="22"/>
          <w:lang w:val="ro-MD" w:eastAsia="en-US"/>
        </w:rPr>
      </w:pPr>
    </w:p>
    <w:p w14:paraId="4FDFB5AA" w14:textId="77777777" w:rsidR="00571156" w:rsidRPr="00A219DB" w:rsidRDefault="00571156" w:rsidP="00571156">
      <w:pPr>
        <w:pStyle w:val="a4"/>
        <w:spacing w:after="0"/>
        <w:ind w:right="567"/>
        <w:rPr>
          <w:rFonts w:ascii="Times New Roman" w:hAnsi="Times New Roman"/>
          <w:i/>
          <w:sz w:val="22"/>
          <w:szCs w:val="22"/>
          <w:lang w:val="ro-MD" w:eastAsia="en-US"/>
        </w:rPr>
      </w:pPr>
    </w:p>
    <w:p w14:paraId="325D142A" w14:textId="77777777" w:rsidR="00571156" w:rsidRPr="0043553E" w:rsidRDefault="00571156" w:rsidP="00571156">
      <w:pPr>
        <w:ind w:right="819"/>
        <w:jc w:val="center"/>
        <w:rPr>
          <w:rFonts w:ascii="Times New Roman" w:hAnsi="Times New Roman"/>
          <w:b/>
          <w:bCs/>
          <w:i/>
          <w:sz w:val="20"/>
          <w:szCs w:val="20"/>
          <w:lang w:val="ro-MD"/>
        </w:rPr>
      </w:pPr>
      <w:r w:rsidRPr="0043553E">
        <w:rPr>
          <w:rFonts w:ascii="Times New Roman" w:hAnsi="Times New Roman"/>
          <w:b/>
          <w:bCs/>
          <w:i/>
          <w:sz w:val="20"/>
          <w:szCs w:val="20"/>
          <w:lang w:val="ro-MD"/>
        </w:rPr>
        <w:t>Rata cauzelor in restanță la începutul perioadei și cauzelor noi înregistrate 2018-2010</w:t>
      </w:r>
    </w:p>
    <w:p w14:paraId="37DB5B16" w14:textId="1E967B50" w:rsidR="00571156" w:rsidRPr="00A219DB" w:rsidRDefault="00571156" w:rsidP="00571156">
      <w:pPr>
        <w:pStyle w:val="a4"/>
        <w:spacing w:after="0"/>
        <w:ind w:left="851" w:right="567"/>
        <w:jc w:val="center"/>
        <w:rPr>
          <w:rFonts w:ascii="Times New Roman" w:hAnsi="Times New Roman"/>
          <w:i/>
          <w:sz w:val="22"/>
          <w:szCs w:val="22"/>
          <w:lang w:val="ro-MD" w:eastAsia="en-US"/>
        </w:rPr>
      </w:pPr>
      <w:r w:rsidRPr="00A219DB">
        <w:rPr>
          <w:rFonts w:ascii="Times New Roman" w:hAnsi="Times New Roman"/>
          <w:noProof/>
          <w:sz w:val="24"/>
          <w:szCs w:val="24"/>
          <w:lang w:val="ru-RU" w:eastAsia="ru-RU"/>
        </w:rPr>
        <w:drawing>
          <wp:inline distT="0" distB="0" distL="0" distR="0" wp14:anchorId="50527B32" wp14:editId="5BA33E5F">
            <wp:extent cx="5476875" cy="1724025"/>
            <wp:effectExtent l="0" t="0" r="9525" b="952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5422DEF" w14:textId="77777777" w:rsidR="00571156" w:rsidRPr="00A219DB" w:rsidRDefault="00571156" w:rsidP="00571156">
      <w:pPr>
        <w:pStyle w:val="a4"/>
        <w:spacing w:after="0"/>
        <w:ind w:right="567"/>
        <w:rPr>
          <w:rFonts w:ascii="Times New Roman" w:hAnsi="Times New Roman"/>
          <w:i/>
          <w:sz w:val="22"/>
          <w:szCs w:val="22"/>
          <w:lang w:val="ro-MD" w:eastAsia="en-US"/>
        </w:rPr>
      </w:pPr>
    </w:p>
    <w:p w14:paraId="06E92CF4" w14:textId="77777777" w:rsidR="00571156" w:rsidRPr="00A219DB" w:rsidRDefault="00571156" w:rsidP="00571156">
      <w:pPr>
        <w:pStyle w:val="a4"/>
        <w:spacing w:after="0"/>
        <w:ind w:right="567"/>
        <w:rPr>
          <w:rFonts w:ascii="Times New Roman" w:hAnsi="Times New Roman"/>
          <w:i/>
          <w:sz w:val="22"/>
          <w:szCs w:val="22"/>
          <w:lang w:val="ro-MD" w:eastAsia="en-US"/>
        </w:rPr>
      </w:pPr>
    </w:p>
    <w:p w14:paraId="31E698D9" w14:textId="6C17E850" w:rsidR="00571156" w:rsidRPr="0043553E" w:rsidRDefault="00571156" w:rsidP="00347C4C">
      <w:pPr>
        <w:pStyle w:val="a7"/>
      </w:pPr>
      <w:r w:rsidRPr="00A219DB">
        <w:t>Din numărul total de cauze aflate în procedură – 10% le reprezintă cauzele pendinte la începutul perioadei de raporta</w:t>
      </w:r>
      <w:r>
        <w:t>r</w:t>
      </w:r>
      <w:r w:rsidRPr="00A219DB">
        <w:t>e</w:t>
      </w:r>
      <w:r>
        <w:t>,</w:t>
      </w:r>
      <w:r w:rsidRPr="00A219DB">
        <w:t xml:space="preserve"> iar 90% noi înregistrate.</w:t>
      </w:r>
    </w:p>
    <w:p w14:paraId="7682916C" w14:textId="77777777" w:rsidR="00571156" w:rsidRPr="00A219DB" w:rsidRDefault="00571156" w:rsidP="00571156">
      <w:pPr>
        <w:pStyle w:val="a4"/>
        <w:spacing w:after="0"/>
        <w:ind w:right="567"/>
        <w:rPr>
          <w:rFonts w:ascii="Times New Roman" w:hAnsi="Times New Roman"/>
          <w:i/>
          <w:sz w:val="22"/>
          <w:szCs w:val="22"/>
          <w:lang w:val="ro-MD" w:eastAsia="en-US"/>
        </w:rPr>
      </w:pPr>
    </w:p>
    <w:p w14:paraId="0A11DF36" w14:textId="77777777" w:rsidR="00571156" w:rsidRPr="0043553E" w:rsidRDefault="00571156" w:rsidP="00571156">
      <w:pPr>
        <w:pStyle w:val="a4"/>
        <w:spacing w:after="0"/>
        <w:ind w:left="1134" w:right="567"/>
        <w:rPr>
          <w:rFonts w:ascii="Times New Roman"/>
          <w:b/>
          <w:bCs/>
          <w:i/>
          <w:sz w:val="24"/>
          <w:szCs w:val="24"/>
          <w:lang w:val="ro-MD"/>
        </w:rPr>
      </w:pPr>
      <w:r w:rsidRPr="0043553E">
        <w:rPr>
          <w:rFonts w:ascii="Times New Roman" w:hAnsi="Times New Roman"/>
          <w:b/>
          <w:bCs/>
          <w:i/>
          <w:sz w:val="22"/>
          <w:szCs w:val="22"/>
          <w:lang w:val="ro-MD" w:eastAsia="en-US"/>
        </w:rPr>
        <w:t>Tabelul nr.</w:t>
      </w:r>
      <w:r>
        <w:rPr>
          <w:rFonts w:ascii="Times New Roman" w:hAnsi="Times New Roman"/>
          <w:b/>
          <w:bCs/>
          <w:i/>
          <w:sz w:val="22"/>
          <w:szCs w:val="22"/>
          <w:lang w:val="ro-MD" w:eastAsia="en-US"/>
        </w:rPr>
        <w:t xml:space="preserve"> </w:t>
      </w:r>
      <w:r w:rsidRPr="0043553E">
        <w:rPr>
          <w:rFonts w:ascii="Times New Roman" w:hAnsi="Times New Roman"/>
          <w:b/>
          <w:bCs/>
          <w:i/>
          <w:sz w:val="22"/>
          <w:szCs w:val="22"/>
          <w:lang w:val="ro-MD" w:eastAsia="en-US"/>
        </w:rPr>
        <w:t>4:</w:t>
      </w:r>
      <w:r w:rsidRPr="0043553E">
        <w:rPr>
          <w:rFonts w:ascii="Times New Roman"/>
          <w:b/>
          <w:bCs/>
          <w:i/>
          <w:sz w:val="24"/>
          <w:szCs w:val="24"/>
          <w:lang w:val="ro-MD"/>
        </w:rPr>
        <w:t xml:space="preserve"> Volumul total al cauzelor aflate </w:t>
      </w:r>
      <w:r w:rsidRPr="0043553E">
        <w:rPr>
          <w:rFonts w:ascii="Times New Roman"/>
          <w:b/>
          <w:bCs/>
          <w:i/>
          <w:sz w:val="24"/>
          <w:szCs w:val="24"/>
          <w:lang w:val="ro-MD"/>
        </w:rPr>
        <w:t>î</w:t>
      </w:r>
      <w:r w:rsidRPr="0043553E">
        <w:rPr>
          <w:rFonts w:ascii="Times New Roman"/>
          <w:b/>
          <w:bCs/>
          <w:i/>
          <w:sz w:val="24"/>
          <w:szCs w:val="24"/>
          <w:lang w:val="ro-MD"/>
        </w:rPr>
        <w:t>n procedur</w:t>
      </w:r>
      <w:r w:rsidRPr="0043553E">
        <w:rPr>
          <w:rFonts w:ascii="Times New Roman"/>
          <w:b/>
          <w:bCs/>
          <w:i/>
          <w:sz w:val="24"/>
          <w:szCs w:val="24"/>
          <w:lang w:val="ro-MD"/>
        </w:rPr>
        <w:t>ă</w:t>
      </w:r>
      <w:r w:rsidRPr="0043553E">
        <w:rPr>
          <w:rFonts w:ascii="Times New Roman"/>
          <w:b/>
          <w:bCs/>
          <w:i/>
          <w:sz w:val="24"/>
          <w:szCs w:val="24"/>
          <w:lang w:val="ro-MD"/>
        </w:rPr>
        <w:t xml:space="preserve">, per categorii, </w:t>
      </w:r>
      <w:r w:rsidRPr="0043553E">
        <w:rPr>
          <w:rFonts w:ascii="Times New Roman"/>
          <w:b/>
          <w:bCs/>
          <w:i/>
          <w:sz w:val="24"/>
          <w:szCs w:val="24"/>
          <w:lang w:val="ro-MD"/>
        </w:rPr>
        <w:t>î</w:t>
      </w:r>
      <w:r w:rsidRPr="0043553E">
        <w:rPr>
          <w:rFonts w:ascii="Times New Roman"/>
          <w:b/>
          <w:bCs/>
          <w:i/>
          <w:sz w:val="24"/>
          <w:szCs w:val="24"/>
          <w:lang w:val="ro-MD"/>
        </w:rPr>
        <w:t xml:space="preserve">ntre 2018-2020 </w:t>
      </w:r>
    </w:p>
    <w:p w14:paraId="6AACE192" w14:textId="77777777" w:rsidR="00571156" w:rsidRPr="00A219DB" w:rsidRDefault="00571156" w:rsidP="00571156">
      <w:pPr>
        <w:pStyle w:val="a4"/>
        <w:spacing w:after="0"/>
        <w:ind w:left="1134" w:right="567"/>
        <w:rPr>
          <w:rFonts w:ascii="Times New Roman"/>
          <w:i/>
          <w:sz w:val="24"/>
          <w:szCs w:val="24"/>
          <w:lang w:val="ro-MD"/>
        </w:rPr>
      </w:pPr>
    </w:p>
    <w:p w14:paraId="5449230F" w14:textId="31B1D0C0" w:rsidR="00571156" w:rsidRPr="00A219DB" w:rsidRDefault="00571156" w:rsidP="00571156">
      <w:pPr>
        <w:pStyle w:val="a4"/>
        <w:spacing w:after="0"/>
        <w:ind w:right="567"/>
        <w:rPr>
          <w:rFonts w:ascii="Times New Roman" w:hAnsi="Times New Roman"/>
          <w:i/>
          <w:sz w:val="22"/>
          <w:szCs w:val="22"/>
          <w:lang w:val="ro-MD" w:eastAsia="en-US"/>
        </w:rPr>
      </w:pPr>
      <w:r w:rsidRPr="00A219DB">
        <w:rPr>
          <w:rFonts w:ascii="Times New Roman"/>
          <w:i/>
          <w:noProof/>
          <w:sz w:val="24"/>
          <w:szCs w:val="24"/>
          <w:lang w:val="ru-RU" w:eastAsia="ru-RU"/>
        </w:rPr>
        <w:drawing>
          <wp:inline distT="0" distB="0" distL="0" distR="0" wp14:anchorId="074D0FA0" wp14:editId="192C0A92">
            <wp:extent cx="6096000" cy="375285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4D2CA4C" w14:textId="77777777" w:rsidR="00571156" w:rsidRDefault="00571156" w:rsidP="00571156">
      <w:pPr>
        <w:ind w:right="819"/>
        <w:rPr>
          <w:rFonts w:ascii="Times New Roman" w:hAnsi="Times New Roman"/>
          <w:i/>
          <w:sz w:val="20"/>
          <w:szCs w:val="20"/>
          <w:lang w:val="ro-MD"/>
        </w:rPr>
      </w:pPr>
      <w:r w:rsidRPr="00A219DB">
        <w:rPr>
          <w:rFonts w:ascii="Times New Roman" w:hAnsi="Times New Roman"/>
          <w:i/>
          <w:sz w:val="20"/>
          <w:szCs w:val="20"/>
          <w:lang w:val="ro-MD"/>
        </w:rPr>
        <w:t xml:space="preserve">            </w:t>
      </w:r>
    </w:p>
    <w:p w14:paraId="03CA42B0" w14:textId="77777777" w:rsidR="002A7A3A" w:rsidRPr="00A219DB" w:rsidRDefault="002A7A3A" w:rsidP="002A7A3A">
      <w:pPr>
        <w:pStyle w:val="a4"/>
        <w:spacing w:after="0"/>
        <w:ind w:right="567"/>
        <w:rPr>
          <w:rFonts w:ascii="Times New Roman" w:hAnsi="Times New Roman"/>
          <w:noProof/>
          <w:sz w:val="24"/>
          <w:szCs w:val="24"/>
          <w:lang w:val="ro-MD" w:eastAsia="en-US"/>
        </w:rPr>
      </w:pPr>
    </w:p>
    <w:p w14:paraId="20548CA7" w14:textId="77777777" w:rsidR="00571156" w:rsidRPr="00A219DB" w:rsidRDefault="00571156" w:rsidP="00347C4C">
      <w:pPr>
        <w:pStyle w:val="a7"/>
      </w:pPr>
      <w:r w:rsidRPr="00A219DB">
        <w:t xml:space="preserve">Dinamica cauzelor înregistrate pe rolul instanței este diferențiată în raport de categoria cauzelor.   </w:t>
      </w:r>
      <w:r>
        <w:t xml:space="preserve"> </w:t>
      </w:r>
      <w:r w:rsidRPr="00A219DB">
        <w:t xml:space="preserve"> </w:t>
      </w:r>
    </w:p>
    <w:p w14:paraId="66A4A02F" w14:textId="77777777" w:rsidR="00571156" w:rsidRDefault="00571156" w:rsidP="00347C4C">
      <w:pPr>
        <w:pStyle w:val="a7"/>
      </w:pPr>
      <w:r w:rsidRPr="00A219DB">
        <w:t xml:space="preserve">Cel mai mare număr de cauze aflate în procedură în anul 2020 sunt </w:t>
      </w:r>
      <w:r w:rsidRPr="00A219DB">
        <w:rPr>
          <w:b/>
        </w:rPr>
        <w:t>cauzele penale</w:t>
      </w:r>
      <w:r w:rsidRPr="00A219DB">
        <w:t xml:space="preserve"> cu un număr de 1234 de cauze (59%), după care urmează </w:t>
      </w:r>
      <w:r w:rsidRPr="00A219DB">
        <w:rPr>
          <w:b/>
        </w:rPr>
        <w:t>cauzele civile</w:t>
      </w:r>
      <w:r w:rsidRPr="00A219DB">
        <w:t xml:space="preserve"> cu un număr de 416 cauze (20%), urmate de cauzele</w:t>
      </w:r>
      <w:r w:rsidRPr="00A219DB">
        <w:rPr>
          <w:b/>
        </w:rPr>
        <w:t xml:space="preserve"> contravenționale</w:t>
      </w:r>
      <w:r w:rsidRPr="00A219DB">
        <w:t xml:space="preserve"> cu un număr de 218 de dosare (10%) și cauzele de </w:t>
      </w:r>
      <w:r w:rsidRPr="00A219DB">
        <w:rPr>
          <w:b/>
        </w:rPr>
        <w:t>contencios administrativ</w:t>
      </w:r>
      <w:r w:rsidRPr="00A219DB">
        <w:t xml:space="preserve"> -118 (6%) . Un număr mai mic se atribuie c</w:t>
      </w:r>
      <w:r w:rsidRPr="00A219DB">
        <w:rPr>
          <w:b/>
        </w:rPr>
        <w:t>auzelor comerciale</w:t>
      </w:r>
      <w:r w:rsidRPr="00A219DB">
        <w:t xml:space="preserve"> - 61 cauze (3%) și cauzelor de </w:t>
      </w:r>
      <w:r w:rsidRPr="00A219DB">
        <w:rPr>
          <w:b/>
        </w:rPr>
        <w:t>insolvabilitate</w:t>
      </w:r>
      <w:r w:rsidRPr="00A219DB">
        <w:t xml:space="preserve"> - 36 cauze (2%)</w:t>
      </w:r>
      <w:r>
        <w:t>.</w:t>
      </w:r>
    </w:p>
    <w:p w14:paraId="54A209C8" w14:textId="39FED5C5" w:rsidR="00571156" w:rsidRDefault="00571156" w:rsidP="00571156">
      <w:pPr>
        <w:pStyle w:val="a4"/>
        <w:rPr>
          <w:lang w:val="ro-MD" w:eastAsia="en-US"/>
        </w:rPr>
      </w:pPr>
    </w:p>
    <w:p w14:paraId="005BB10D" w14:textId="77777777" w:rsidR="007210B7" w:rsidRPr="0043553E" w:rsidRDefault="007210B7" w:rsidP="00571156">
      <w:pPr>
        <w:pStyle w:val="a4"/>
        <w:rPr>
          <w:lang w:val="ro-MD" w:eastAsia="en-US"/>
        </w:rPr>
      </w:pPr>
    </w:p>
    <w:p w14:paraId="675E2E45" w14:textId="77777777" w:rsidR="00571156" w:rsidRPr="00A219DB" w:rsidRDefault="00571156" w:rsidP="00571156">
      <w:pPr>
        <w:pStyle w:val="a4"/>
        <w:ind w:left="360" w:right="567"/>
        <w:jc w:val="center"/>
        <w:rPr>
          <w:rFonts w:ascii="Times New Roman"/>
          <w:b/>
          <w:sz w:val="28"/>
          <w:szCs w:val="28"/>
          <w:lang w:val="ro-MD"/>
        </w:rPr>
      </w:pPr>
      <w:r w:rsidRPr="00A219DB">
        <w:rPr>
          <w:rFonts w:ascii="Times New Roman"/>
          <w:b/>
          <w:sz w:val="28"/>
          <w:szCs w:val="28"/>
          <w:lang w:val="ro-MD"/>
        </w:rPr>
        <w:lastRenderedPageBreak/>
        <w:t>Ponderea cauzelor solu</w:t>
      </w:r>
      <w:r w:rsidRPr="00A219DB">
        <w:rPr>
          <w:rFonts w:ascii="Times New Roman"/>
          <w:b/>
          <w:sz w:val="28"/>
          <w:szCs w:val="28"/>
          <w:lang w:val="ro-MD"/>
        </w:rPr>
        <w:t>ț</w:t>
      </w:r>
      <w:r w:rsidRPr="00A219DB">
        <w:rPr>
          <w:rFonts w:ascii="Times New Roman"/>
          <w:b/>
          <w:sz w:val="28"/>
          <w:szCs w:val="28"/>
          <w:lang w:val="ro-MD"/>
        </w:rPr>
        <w:t>ionate</w:t>
      </w:r>
    </w:p>
    <w:p w14:paraId="23220D7F" w14:textId="40DBB348" w:rsidR="00571156" w:rsidRDefault="00571156" w:rsidP="00571156">
      <w:pPr>
        <w:spacing w:after="0"/>
        <w:ind w:right="-2" w:firstLine="567"/>
        <w:jc w:val="both"/>
        <w:rPr>
          <w:rFonts w:ascii="Times New Roman"/>
          <w:sz w:val="24"/>
          <w:szCs w:val="24"/>
          <w:lang w:val="ro-MD"/>
        </w:rPr>
      </w:pPr>
      <w:r w:rsidRPr="00A219DB">
        <w:rPr>
          <w:rFonts w:ascii="Times New Roman"/>
          <w:sz w:val="24"/>
          <w:szCs w:val="24"/>
          <w:lang w:val="ro-MD"/>
        </w:rPr>
        <w:t>Statistica cauzelor solu</w:t>
      </w:r>
      <w:r w:rsidRPr="00A219DB">
        <w:rPr>
          <w:rFonts w:ascii="Times New Roman"/>
          <w:sz w:val="24"/>
          <w:szCs w:val="24"/>
          <w:lang w:val="ro-MD"/>
        </w:rPr>
        <w:t>ț</w:t>
      </w:r>
      <w:r w:rsidRPr="00A219DB">
        <w:rPr>
          <w:rFonts w:ascii="Times New Roman"/>
          <w:sz w:val="24"/>
          <w:szCs w:val="24"/>
          <w:lang w:val="ro-MD"/>
        </w:rPr>
        <w:t>ionate se prezint</w:t>
      </w:r>
      <w:r w:rsidRPr="00A219DB">
        <w:rPr>
          <w:rFonts w:ascii="Times New Roman"/>
          <w:sz w:val="24"/>
          <w:szCs w:val="24"/>
          <w:lang w:val="ro-MD"/>
        </w:rPr>
        <w:t>ă</w:t>
      </w:r>
      <w:r w:rsidRPr="00A219DB">
        <w:rPr>
          <w:rFonts w:ascii="Times New Roman"/>
          <w:sz w:val="24"/>
          <w:szCs w:val="24"/>
          <w:lang w:val="ro-MD"/>
        </w:rPr>
        <w:t xml:space="preserve"> </w:t>
      </w:r>
      <w:r w:rsidRPr="00A219DB">
        <w:rPr>
          <w:rFonts w:ascii="Times New Roman"/>
          <w:sz w:val="24"/>
          <w:szCs w:val="24"/>
          <w:lang w:val="ro-MD"/>
        </w:rPr>
        <w:t>î</w:t>
      </w:r>
      <w:r w:rsidRPr="00A219DB">
        <w:rPr>
          <w:rFonts w:ascii="Times New Roman"/>
          <w:sz w:val="24"/>
          <w:szCs w:val="24"/>
          <w:lang w:val="ro-MD"/>
        </w:rPr>
        <w:t>n tabelul de mai jos</w:t>
      </w:r>
      <w:r>
        <w:rPr>
          <w:rFonts w:ascii="Times New Roman"/>
          <w:sz w:val="24"/>
          <w:szCs w:val="24"/>
          <w:lang w:val="ro-MD"/>
        </w:rPr>
        <w:t>.</w:t>
      </w:r>
    </w:p>
    <w:p w14:paraId="6C6C8159" w14:textId="77777777" w:rsidR="00571156" w:rsidRPr="00A219DB" w:rsidRDefault="00571156" w:rsidP="00571156">
      <w:pPr>
        <w:spacing w:after="0"/>
        <w:ind w:right="-2" w:firstLine="567"/>
        <w:jc w:val="both"/>
        <w:rPr>
          <w:rFonts w:ascii="Times New Roman"/>
          <w:sz w:val="24"/>
          <w:szCs w:val="24"/>
          <w:lang w:val="ro-MD"/>
        </w:rPr>
      </w:pPr>
    </w:p>
    <w:p w14:paraId="19AB26B9" w14:textId="77777777" w:rsidR="00571156" w:rsidRPr="00E10381" w:rsidRDefault="00571156" w:rsidP="00571156">
      <w:pPr>
        <w:pStyle w:val="a4"/>
        <w:spacing w:after="0"/>
        <w:ind w:right="-2" w:firstLine="567"/>
        <w:jc w:val="both"/>
        <w:rPr>
          <w:rFonts w:ascii="Times New Roman"/>
          <w:b/>
          <w:bCs/>
          <w:i/>
          <w:sz w:val="24"/>
          <w:szCs w:val="24"/>
          <w:lang w:val="ro-MD"/>
        </w:rPr>
      </w:pPr>
      <w:r w:rsidRPr="00E10381">
        <w:rPr>
          <w:rFonts w:ascii="Times New Roman"/>
          <w:b/>
          <w:bCs/>
          <w:i/>
          <w:sz w:val="24"/>
          <w:szCs w:val="24"/>
          <w:lang w:val="ro-MD"/>
        </w:rPr>
        <w:t>Tabelul nr. 5: Volumul cauzelor solu</w:t>
      </w:r>
      <w:r w:rsidRPr="00E10381">
        <w:rPr>
          <w:rFonts w:ascii="Times New Roman"/>
          <w:b/>
          <w:bCs/>
          <w:i/>
          <w:sz w:val="24"/>
          <w:szCs w:val="24"/>
          <w:lang w:val="ro-MD"/>
        </w:rPr>
        <w:t>ț</w:t>
      </w:r>
      <w:r w:rsidRPr="00E10381">
        <w:rPr>
          <w:rFonts w:ascii="Times New Roman"/>
          <w:b/>
          <w:bCs/>
          <w:i/>
          <w:sz w:val="24"/>
          <w:szCs w:val="24"/>
          <w:lang w:val="ro-MD"/>
        </w:rPr>
        <w:t xml:space="preserve">ionate, per categorii, </w:t>
      </w:r>
      <w:r w:rsidRPr="00E10381">
        <w:rPr>
          <w:rFonts w:ascii="Times New Roman"/>
          <w:b/>
          <w:bCs/>
          <w:i/>
          <w:sz w:val="24"/>
          <w:szCs w:val="24"/>
          <w:lang w:val="ro-MD"/>
        </w:rPr>
        <w:t>î</w:t>
      </w:r>
      <w:r w:rsidRPr="00E10381">
        <w:rPr>
          <w:rFonts w:ascii="Times New Roman"/>
          <w:b/>
          <w:bCs/>
          <w:i/>
          <w:sz w:val="24"/>
          <w:szCs w:val="24"/>
          <w:lang w:val="ro-MD"/>
        </w:rPr>
        <w:t>ntre 2018-2020</w:t>
      </w:r>
    </w:p>
    <w:p w14:paraId="55F9568E" w14:textId="77777777" w:rsidR="00571156" w:rsidRPr="00A219DB" w:rsidRDefault="00571156" w:rsidP="00347C4C">
      <w:pPr>
        <w:pStyle w:val="a7"/>
      </w:pPr>
    </w:p>
    <w:tbl>
      <w:tblPr>
        <w:tblpPr w:leftFromText="180" w:rightFromText="180" w:vertAnchor="text" w:horzAnchor="margin" w:tblpXSpec="center" w:tblpY="73"/>
        <w:tblOverlap w:val="never"/>
        <w:tblW w:w="10366" w:type="dxa"/>
        <w:tblLook w:val="04A0" w:firstRow="1" w:lastRow="0" w:firstColumn="1" w:lastColumn="0" w:noHBand="0" w:noVBand="1"/>
      </w:tblPr>
      <w:tblGrid>
        <w:gridCol w:w="3349"/>
        <w:gridCol w:w="1068"/>
        <w:gridCol w:w="1193"/>
        <w:gridCol w:w="1189"/>
        <w:gridCol w:w="1189"/>
        <w:gridCol w:w="1189"/>
        <w:gridCol w:w="1189"/>
      </w:tblGrid>
      <w:tr w:rsidR="00571156" w:rsidRPr="00A219DB" w14:paraId="42447D46" w14:textId="77777777" w:rsidTr="002D569B">
        <w:trPr>
          <w:trHeight w:val="321"/>
        </w:trPr>
        <w:tc>
          <w:tcPr>
            <w:tcW w:w="334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7A6D23"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Tipul de cauze</w:t>
            </w:r>
          </w:p>
          <w:p w14:paraId="48B9B29A" w14:textId="77777777" w:rsidR="00571156" w:rsidRPr="00A219DB" w:rsidRDefault="00571156" w:rsidP="002D569B">
            <w:pPr>
              <w:rPr>
                <w:rFonts w:ascii="Times New Roman" w:hAnsi="Times New Roman"/>
                <w:b/>
                <w:bCs/>
                <w:sz w:val="24"/>
                <w:szCs w:val="24"/>
                <w:lang w:val="ro-MD"/>
              </w:rPr>
            </w:pPr>
          </w:p>
        </w:tc>
        <w:tc>
          <w:tcPr>
            <w:tcW w:w="106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705A473"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2018</w:t>
            </w:r>
          </w:p>
        </w:tc>
        <w:tc>
          <w:tcPr>
            <w:tcW w:w="119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E8295D6"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2019</w:t>
            </w:r>
          </w:p>
        </w:tc>
        <w:tc>
          <w:tcPr>
            <w:tcW w:w="118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2BB0637"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2020</w:t>
            </w:r>
          </w:p>
        </w:tc>
        <w:tc>
          <w:tcPr>
            <w:tcW w:w="118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5BEA2CCB"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2018</w:t>
            </w:r>
          </w:p>
        </w:tc>
        <w:tc>
          <w:tcPr>
            <w:tcW w:w="118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41C54629"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2019</w:t>
            </w:r>
          </w:p>
        </w:tc>
        <w:tc>
          <w:tcPr>
            <w:tcW w:w="118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48215847"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2020</w:t>
            </w:r>
          </w:p>
        </w:tc>
      </w:tr>
      <w:tr w:rsidR="00571156" w:rsidRPr="00A219DB" w14:paraId="590E44A3" w14:textId="77777777" w:rsidTr="002D569B">
        <w:trPr>
          <w:trHeight w:val="321"/>
        </w:trPr>
        <w:tc>
          <w:tcPr>
            <w:tcW w:w="3349"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86CC55"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 xml:space="preserve">Total cauze civile </w:t>
            </w:r>
          </w:p>
          <w:p w14:paraId="4659B3EB" w14:textId="77777777" w:rsidR="00571156" w:rsidRPr="00A219DB" w:rsidRDefault="00571156" w:rsidP="002D569B">
            <w:pPr>
              <w:rPr>
                <w:rFonts w:ascii="Times New Roman" w:hAnsi="Times New Roman"/>
                <w:b/>
                <w:bCs/>
                <w:sz w:val="24"/>
                <w:szCs w:val="24"/>
                <w:lang w:val="ro-MD"/>
              </w:rPr>
            </w:pPr>
          </w:p>
        </w:tc>
        <w:tc>
          <w:tcPr>
            <w:tcW w:w="1068" w:type="dxa"/>
            <w:tcBorders>
              <w:top w:val="nil"/>
              <w:left w:val="nil"/>
              <w:bottom w:val="single" w:sz="4" w:space="0" w:color="auto"/>
              <w:right w:val="single" w:sz="4" w:space="0" w:color="auto"/>
            </w:tcBorders>
            <w:shd w:val="clear" w:color="auto" w:fill="D5DCE4" w:themeFill="text2" w:themeFillTint="33"/>
            <w:vAlign w:val="center"/>
            <w:hideMark/>
          </w:tcPr>
          <w:p w14:paraId="7A580C71"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390</w:t>
            </w:r>
          </w:p>
        </w:tc>
        <w:tc>
          <w:tcPr>
            <w:tcW w:w="1193" w:type="dxa"/>
            <w:tcBorders>
              <w:top w:val="nil"/>
              <w:left w:val="nil"/>
              <w:bottom w:val="single" w:sz="4" w:space="0" w:color="auto"/>
              <w:right w:val="single" w:sz="4" w:space="0" w:color="auto"/>
            </w:tcBorders>
            <w:shd w:val="clear" w:color="auto" w:fill="D5DCE4" w:themeFill="text2" w:themeFillTint="33"/>
            <w:vAlign w:val="center"/>
            <w:hideMark/>
          </w:tcPr>
          <w:p w14:paraId="1EE25598"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378</w:t>
            </w:r>
          </w:p>
        </w:tc>
        <w:tc>
          <w:tcPr>
            <w:tcW w:w="1189" w:type="dxa"/>
            <w:tcBorders>
              <w:top w:val="nil"/>
              <w:left w:val="nil"/>
              <w:bottom w:val="single" w:sz="4" w:space="0" w:color="auto"/>
              <w:right w:val="single" w:sz="4" w:space="0" w:color="auto"/>
            </w:tcBorders>
            <w:shd w:val="clear" w:color="auto" w:fill="D5DCE4" w:themeFill="text2" w:themeFillTint="33"/>
            <w:vAlign w:val="center"/>
            <w:hideMark/>
          </w:tcPr>
          <w:p w14:paraId="6BFA7C83"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361</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038794B2"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25%</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036021BF"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23%</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19FB4EE4"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20%</w:t>
            </w:r>
          </w:p>
        </w:tc>
      </w:tr>
      <w:tr w:rsidR="00571156" w:rsidRPr="00A219DB" w14:paraId="7A224E66" w14:textId="77777777" w:rsidTr="002D569B">
        <w:trPr>
          <w:trHeight w:val="321"/>
        </w:trPr>
        <w:tc>
          <w:tcPr>
            <w:tcW w:w="3349"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6C09D1"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 xml:space="preserve">Total cauze comerciale </w:t>
            </w:r>
          </w:p>
          <w:p w14:paraId="32C16048" w14:textId="77777777" w:rsidR="00571156" w:rsidRPr="00A219DB" w:rsidRDefault="00571156" w:rsidP="002D569B">
            <w:pPr>
              <w:rPr>
                <w:rFonts w:ascii="Times New Roman" w:hAnsi="Times New Roman"/>
                <w:b/>
                <w:bCs/>
                <w:sz w:val="24"/>
                <w:szCs w:val="24"/>
                <w:lang w:val="ro-MD"/>
              </w:rPr>
            </w:pPr>
          </w:p>
        </w:tc>
        <w:tc>
          <w:tcPr>
            <w:tcW w:w="1068" w:type="dxa"/>
            <w:tcBorders>
              <w:top w:val="nil"/>
              <w:left w:val="nil"/>
              <w:bottom w:val="single" w:sz="4" w:space="0" w:color="auto"/>
              <w:right w:val="single" w:sz="4" w:space="0" w:color="auto"/>
            </w:tcBorders>
            <w:shd w:val="clear" w:color="auto" w:fill="D5DCE4" w:themeFill="text2" w:themeFillTint="33"/>
            <w:vAlign w:val="center"/>
            <w:hideMark/>
          </w:tcPr>
          <w:p w14:paraId="3F977D54"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75</w:t>
            </w:r>
          </w:p>
        </w:tc>
        <w:tc>
          <w:tcPr>
            <w:tcW w:w="1193" w:type="dxa"/>
            <w:tcBorders>
              <w:top w:val="nil"/>
              <w:left w:val="nil"/>
              <w:bottom w:val="single" w:sz="4" w:space="0" w:color="auto"/>
              <w:right w:val="single" w:sz="4" w:space="0" w:color="auto"/>
            </w:tcBorders>
            <w:shd w:val="clear" w:color="auto" w:fill="D5DCE4" w:themeFill="text2" w:themeFillTint="33"/>
            <w:vAlign w:val="center"/>
            <w:hideMark/>
          </w:tcPr>
          <w:p w14:paraId="31AFCAD2"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65</w:t>
            </w:r>
          </w:p>
        </w:tc>
        <w:tc>
          <w:tcPr>
            <w:tcW w:w="1189" w:type="dxa"/>
            <w:tcBorders>
              <w:top w:val="nil"/>
              <w:left w:val="nil"/>
              <w:bottom w:val="single" w:sz="4" w:space="0" w:color="auto"/>
              <w:right w:val="single" w:sz="4" w:space="0" w:color="auto"/>
            </w:tcBorders>
            <w:shd w:val="clear" w:color="auto" w:fill="D5DCE4" w:themeFill="text2" w:themeFillTint="33"/>
            <w:vAlign w:val="center"/>
            <w:hideMark/>
          </w:tcPr>
          <w:p w14:paraId="4004A2D2"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49</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0CE7258A"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5%</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1A97CB0B"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4%</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4C552968"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3%</w:t>
            </w:r>
          </w:p>
        </w:tc>
      </w:tr>
      <w:tr w:rsidR="00571156" w:rsidRPr="00A219DB" w14:paraId="5F016FC6" w14:textId="77777777" w:rsidTr="002D569B">
        <w:trPr>
          <w:trHeight w:val="321"/>
        </w:trPr>
        <w:tc>
          <w:tcPr>
            <w:tcW w:w="3349"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26942C"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Total cauze insolvabilitate</w:t>
            </w:r>
          </w:p>
          <w:p w14:paraId="100F0BDE" w14:textId="77777777" w:rsidR="00571156" w:rsidRPr="00A219DB" w:rsidRDefault="00571156" w:rsidP="002D569B">
            <w:pPr>
              <w:rPr>
                <w:rFonts w:ascii="Times New Roman" w:hAnsi="Times New Roman"/>
                <w:b/>
                <w:bCs/>
                <w:sz w:val="24"/>
                <w:szCs w:val="24"/>
                <w:lang w:val="ro-MD"/>
              </w:rPr>
            </w:pPr>
          </w:p>
        </w:tc>
        <w:tc>
          <w:tcPr>
            <w:tcW w:w="1068" w:type="dxa"/>
            <w:tcBorders>
              <w:top w:val="nil"/>
              <w:left w:val="nil"/>
              <w:bottom w:val="single" w:sz="4" w:space="0" w:color="auto"/>
              <w:right w:val="single" w:sz="4" w:space="0" w:color="auto"/>
            </w:tcBorders>
            <w:shd w:val="clear" w:color="auto" w:fill="D5DCE4" w:themeFill="text2" w:themeFillTint="33"/>
            <w:vAlign w:val="center"/>
            <w:hideMark/>
          </w:tcPr>
          <w:p w14:paraId="2C46F9C0"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103</w:t>
            </w:r>
          </w:p>
        </w:tc>
        <w:tc>
          <w:tcPr>
            <w:tcW w:w="1193" w:type="dxa"/>
            <w:tcBorders>
              <w:top w:val="nil"/>
              <w:left w:val="nil"/>
              <w:bottom w:val="single" w:sz="4" w:space="0" w:color="auto"/>
              <w:right w:val="single" w:sz="4" w:space="0" w:color="auto"/>
            </w:tcBorders>
            <w:shd w:val="clear" w:color="auto" w:fill="D5DCE4" w:themeFill="text2" w:themeFillTint="33"/>
            <w:vAlign w:val="center"/>
            <w:hideMark/>
          </w:tcPr>
          <w:p w14:paraId="39E7F3C5"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21</w:t>
            </w:r>
          </w:p>
        </w:tc>
        <w:tc>
          <w:tcPr>
            <w:tcW w:w="1189" w:type="dxa"/>
            <w:tcBorders>
              <w:top w:val="nil"/>
              <w:left w:val="nil"/>
              <w:bottom w:val="single" w:sz="4" w:space="0" w:color="auto"/>
              <w:right w:val="single" w:sz="4" w:space="0" w:color="auto"/>
            </w:tcBorders>
            <w:shd w:val="clear" w:color="auto" w:fill="D5DCE4" w:themeFill="text2" w:themeFillTint="33"/>
            <w:vAlign w:val="center"/>
            <w:hideMark/>
          </w:tcPr>
          <w:p w14:paraId="127FAF2D"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32</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47700652"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7%</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2FAF61BD"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1%</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7645635A"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2%</w:t>
            </w:r>
          </w:p>
        </w:tc>
      </w:tr>
      <w:tr w:rsidR="00571156" w:rsidRPr="00A219DB" w14:paraId="50BF64B1" w14:textId="77777777" w:rsidTr="002D569B">
        <w:trPr>
          <w:trHeight w:val="521"/>
        </w:trPr>
        <w:tc>
          <w:tcPr>
            <w:tcW w:w="3349"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29F757"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Total cauze de contencios administrativ</w:t>
            </w:r>
          </w:p>
        </w:tc>
        <w:tc>
          <w:tcPr>
            <w:tcW w:w="1068" w:type="dxa"/>
            <w:tcBorders>
              <w:top w:val="nil"/>
              <w:left w:val="nil"/>
              <w:bottom w:val="single" w:sz="4" w:space="0" w:color="auto"/>
              <w:right w:val="single" w:sz="4" w:space="0" w:color="auto"/>
            </w:tcBorders>
            <w:shd w:val="clear" w:color="auto" w:fill="D5DCE4" w:themeFill="text2" w:themeFillTint="33"/>
            <w:vAlign w:val="center"/>
            <w:hideMark/>
          </w:tcPr>
          <w:p w14:paraId="46029A79"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83</w:t>
            </w:r>
          </w:p>
        </w:tc>
        <w:tc>
          <w:tcPr>
            <w:tcW w:w="1193" w:type="dxa"/>
            <w:tcBorders>
              <w:top w:val="nil"/>
              <w:left w:val="nil"/>
              <w:bottom w:val="single" w:sz="4" w:space="0" w:color="auto"/>
              <w:right w:val="single" w:sz="4" w:space="0" w:color="auto"/>
            </w:tcBorders>
            <w:shd w:val="clear" w:color="auto" w:fill="D5DCE4" w:themeFill="text2" w:themeFillTint="33"/>
            <w:vAlign w:val="center"/>
            <w:hideMark/>
          </w:tcPr>
          <w:p w14:paraId="6CECF3F0"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100</w:t>
            </w:r>
          </w:p>
        </w:tc>
        <w:tc>
          <w:tcPr>
            <w:tcW w:w="1189" w:type="dxa"/>
            <w:tcBorders>
              <w:top w:val="nil"/>
              <w:left w:val="nil"/>
              <w:bottom w:val="single" w:sz="4" w:space="0" w:color="auto"/>
              <w:right w:val="single" w:sz="4" w:space="0" w:color="auto"/>
            </w:tcBorders>
            <w:shd w:val="clear" w:color="auto" w:fill="D5DCE4" w:themeFill="text2" w:themeFillTint="33"/>
            <w:vAlign w:val="center"/>
            <w:hideMark/>
          </w:tcPr>
          <w:p w14:paraId="5957322D"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91</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012CC916"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5%</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2E2AF136"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6%</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40748281"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5%</w:t>
            </w:r>
          </w:p>
        </w:tc>
      </w:tr>
      <w:tr w:rsidR="00571156" w:rsidRPr="00A219DB" w14:paraId="11DDA63C" w14:textId="77777777" w:rsidTr="002D569B">
        <w:trPr>
          <w:trHeight w:val="321"/>
        </w:trPr>
        <w:tc>
          <w:tcPr>
            <w:tcW w:w="3349"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86C9F1"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Total cauze penale</w:t>
            </w:r>
          </w:p>
          <w:p w14:paraId="22FE151E" w14:textId="77777777" w:rsidR="00571156" w:rsidRPr="00A219DB" w:rsidRDefault="00571156" w:rsidP="002D569B">
            <w:pPr>
              <w:rPr>
                <w:rFonts w:ascii="Times New Roman" w:hAnsi="Times New Roman"/>
                <w:b/>
                <w:bCs/>
                <w:sz w:val="24"/>
                <w:szCs w:val="24"/>
                <w:lang w:val="ro-MD"/>
              </w:rPr>
            </w:pPr>
          </w:p>
        </w:tc>
        <w:tc>
          <w:tcPr>
            <w:tcW w:w="1068" w:type="dxa"/>
            <w:tcBorders>
              <w:top w:val="nil"/>
              <w:left w:val="nil"/>
              <w:bottom w:val="single" w:sz="4" w:space="0" w:color="auto"/>
              <w:right w:val="single" w:sz="4" w:space="0" w:color="auto"/>
            </w:tcBorders>
            <w:shd w:val="clear" w:color="auto" w:fill="D5DCE4" w:themeFill="text2" w:themeFillTint="33"/>
            <w:vAlign w:val="center"/>
            <w:hideMark/>
          </w:tcPr>
          <w:p w14:paraId="087CEF53"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762</w:t>
            </w:r>
          </w:p>
        </w:tc>
        <w:tc>
          <w:tcPr>
            <w:tcW w:w="1193" w:type="dxa"/>
            <w:tcBorders>
              <w:top w:val="nil"/>
              <w:left w:val="nil"/>
              <w:bottom w:val="single" w:sz="4" w:space="0" w:color="auto"/>
              <w:right w:val="single" w:sz="4" w:space="0" w:color="auto"/>
            </w:tcBorders>
            <w:shd w:val="clear" w:color="auto" w:fill="D5DCE4" w:themeFill="text2" w:themeFillTint="33"/>
            <w:vAlign w:val="center"/>
            <w:hideMark/>
          </w:tcPr>
          <w:p w14:paraId="3BF60B4F"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875</w:t>
            </w:r>
          </w:p>
        </w:tc>
        <w:tc>
          <w:tcPr>
            <w:tcW w:w="1189" w:type="dxa"/>
            <w:tcBorders>
              <w:top w:val="nil"/>
              <w:left w:val="nil"/>
              <w:bottom w:val="single" w:sz="4" w:space="0" w:color="auto"/>
              <w:right w:val="single" w:sz="4" w:space="0" w:color="auto"/>
            </w:tcBorders>
            <w:shd w:val="clear" w:color="auto" w:fill="D5DCE4" w:themeFill="text2" w:themeFillTint="33"/>
            <w:vAlign w:val="center"/>
            <w:hideMark/>
          </w:tcPr>
          <w:p w14:paraId="691CAC77"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1090</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0C11381C"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49%</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0BA24CB6"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56%</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6C65A0FB"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60%</w:t>
            </w:r>
          </w:p>
        </w:tc>
      </w:tr>
      <w:tr w:rsidR="00571156" w:rsidRPr="00A219DB" w14:paraId="26ED1305" w14:textId="77777777" w:rsidTr="002D569B">
        <w:trPr>
          <w:trHeight w:val="495"/>
        </w:trPr>
        <w:tc>
          <w:tcPr>
            <w:tcW w:w="3349"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3F18BF"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Total cauze contravenționale</w:t>
            </w:r>
          </w:p>
          <w:p w14:paraId="32A54622" w14:textId="77777777" w:rsidR="00571156" w:rsidRPr="00A219DB" w:rsidRDefault="00571156" w:rsidP="002D569B">
            <w:pPr>
              <w:rPr>
                <w:rFonts w:ascii="Times New Roman" w:hAnsi="Times New Roman"/>
                <w:b/>
                <w:bCs/>
                <w:sz w:val="24"/>
                <w:szCs w:val="24"/>
                <w:lang w:val="ro-MD"/>
              </w:rPr>
            </w:pPr>
          </w:p>
        </w:tc>
        <w:tc>
          <w:tcPr>
            <w:tcW w:w="1068" w:type="dxa"/>
            <w:tcBorders>
              <w:top w:val="nil"/>
              <w:left w:val="nil"/>
              <w:bottom w:val="single" w:sz="4" w:space="0" w:color="auto"/>
              <w:right w:val="single" w:sz="4" w:space="0" w:color="auto"/>
            </w:tcBorders>
            <w:shd w:val="clear" w:color="auto" w:fill="D5DCE4" w:themeFill="text2" w:themeFillTint="33"/>
            <w:vAlign w:val="center"/>
            <w:hideMark/>
          </w:tcPr>
          <w:p w14:paraId="09804BD0"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147</w:t>
            </w:r>
          </w:p>
        </w:tc>
        <w:tc>
          <w:tcPr>
            <w:tcW w:w="1193" w:type="dxa"/>
            <w:tcBorders>
              <w:top w:val="nil"/>
              <w:left w:val="nil"/>
              <w:bottom w:val="single" w:sz="4" w:space="0" w:color="auto"/>
              <w:right w:val="single" w:sz="4" w:space="0" w:color="auto"/>
            </w:tcBorders>
            <w:shd w:val="clear" w:color="auto" w:fill="D5DCE4" w:themeFill="text2" w:themeFillTint="33"/>
            <w:vAlign w:val="center"/>
            <w:hideMark/>
          </w:tcPr>
          <w:p w14:paraId="19E92CA7"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139</w:t>
            </w:r>
          </w:p>
        </w:tc>
        <w:tc>
          <w:tcPr>
            <w:tcW w:w="1189" w:type="dxa"/>
            <w:tcBorders>
              <w:top w:val="nil"/>
              <w:left w:val="nil"/>
              <w:bottom w:val="single" w:sz="4" w:space="0" w:color="auto"/>
              <w:right w:val="single" w:sz="4" w:space="0" w:color="auto"/>
            </w:tcBorders>
            <w:shd w:val="clear" w:color="auto" w:fill="D5DCE4" w:themeFill="text2" w:themeFillTint="33"/>
            <w:vAlign w:val="center"/>
            <w:hideMark/>
          </w:tcPr>
          <w:p w14:paraId="2162BE17"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195</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64232D67"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9%</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3491B956"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9%</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557FE7D1" w14:textId="77777777" w:rsidR="00571156" w:rsidRPr="00A219DB" w:rsidRDefault="00571156" w:rsidP="002D569B">
            <w:pPr>
              <w:rPr>
                <w:rFonts w:ascii="Times New Roman" w:hAnsi="Times New Roman"/>
                <w:sz w:val="24"/>
                <w:szCs w:val="24"/>
                <w:lang w:val="ro-MD"/>
              </w:rPr>
            </w:pPr>
            <w:r w:rsidRPr="00A219DB">
              <w:rPr>
                <w:rFonts w:ascii="Times New Roman" w:hAnsi="Times New Roman"/>
                <w:sz w:val="24"/>
                <w:szCs w:val="24"/>
                <w:lang w:val="ro-MD"/>
              </w:rPr>
              <w:t>11%</w:t>
            </w:r>
          </w:p>
        </w:tc>
      </w:tr>
      <w:tr w:rsidR="00571156" w:rsidRPr="00A219DB" w14:paraId="20F9A2C4" w14:textId="77777777" w:rsidTr="002D569B">
        <w:trPr>
          <w:trHeight w:val="271"/>
        </w:trPr>
        <w:tc>
          <w:tcPr>
            <w:tcW w:w="3349"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FF7557"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 xml:space="preserve">Totalul calculat de </w:t>
            </w:r>
            <w:r>
              <w:rPr>
                <w:rFonts w:ascii="Times New Roman" w:hAnsi="Times New Roman"/>
                <w:b/>
                <w:bCs/>
                <w:sz w:val="24"/>
                <w:szCs w:val="24"/>
                <w:lang w:val="ro-MD"/>
              </w:rPr>
              <w:t>cauz</w:t>
            </w:r>
            <w:r w:rsidRPr="00A219DB">
              <w:rPr>
                <w:rFonts w:ascii="Times New Roman" w:hAnsi="Times New Roman"/>
                <w:b/>
                <w:bCs/>
                <w:sz w:val="24"/>
                <w:szCs w:val="24"/>
                <w:lang w:val="ro-MD"/>
              </w:rPr>
              <w:t>e</w:t>
            </w:r>
          </w:p>
          <w:p w14:paraId="3645723B" w14:textId="77777777" w:rsidR="00571156" w:rsidRPr="00A219DB" w:rsidRDefault="00571156" w:rsidP="002D569B">
            <w:pPr>
              <w:rPr>
                <w:rFonts w:ascii="Times New Roman" w:hAnsi="Times New Roman"/>
                <w:b/>
                <w:bCs/>
                <w:sz w:val="24"/>
                <w:szCs w:val="24"/>
                <w:lang w:val="ro-MD"/>
              </w:rPr>
            </w:pPr>
          </w:p>
        </w:tc>
        <w:tc>
          <w:tcPr>
            <w:tcW w:w="1068" w:type="dxa"/>
            <w:tcBorders>
              <w:top w:val="nil"/>
              <w:left w:val="nil"/>
              <w:bottom w:val="single" w:sz="4" w:space="0" w:color="auto"/>
              <w:right w:val="single" w:sz="4" w:space="0" w:color="auto"/>
            </w:tcBorders>
            <w:shd w:val="clear" w:color="auto" w:fill="D5DCE4" w:themeFill="text2" w:themeFillTint="33"/>
            <w:vAlign w:val="center"/>
            <w:hideMark/>
          </w:tcPr>
          <w:p w14:paraId="213C235E"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1560</w:t>
            </w:r>
          </w:p>
        </w:tc>
        <w:tc>
          <w:tcPr>
            <w:tcW w:w="1193" w:type="dxa"/>
            <w:tcBorders>
              <w:top w:val="nil"/>
              <w:left w:val="nil"/>
              <w:bottom w:val="single" w:sz="4" w:space="0" w:color="auto"/>
              <w:right w:val="single" w:sz="4" w:space="0" w:color="auto"/>
            </w:tcBorders>
            <w:shd w:val="clear" w:color="auto" w:fill="D5DCE4" w:themeFill="text2" w:themeFillTint="33"/>
            <w:vAlign w:val="center"/>
            <w:hideMark/>
          </w:tcPr>
          <w:p w14:paraId="1B259023"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1578</w:t>
            </w:r>
          </w:p>
        </w:tc>
        <w:tc>
          <w:tcPr>
            <w:tcW w:w="1189" w:type="dxa"/>
            <w:tcBorders>
              <w:top w:val="nil"/>
              <w:left w:val="nil"/>
              <w:bottom w:val="single" w:sz="4" w:space="0" w:color="auto"/>
              <w:right w:val="single" w:sz="4" w:space="0" w:color="auto"/>
            </w:tcBorders>
            <w:shd w:val="clear" w:color="auto" w:fill="D5DCE4" w:themeFill="text2" w:themeFillTint="33"/>
            <w:vAlign w:val="center"/>
            <w:hideMark/>
          </w:tcPr>
          <w:p w14:paraId="0B175108"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1818</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188C49DE"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100%</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58FA98B2"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100%</w:t>
            </w:r>
          </w:p>
        </w:tc>
        <w:tc>
          <w:tcPr>
            <w:tcW w:w="1189" w:type="dxa"/>
            <w:tcBorders>
              <w:top w:val="nil"/>
              <w:left w:val="nil"/>
              <w:bottom w:val="single" w:sz="4" w:space="0" w:color="auto"/>
              <w:right w:val="single" w:sz="4" w:space="0" w:color="auto"/>
            </w:tcBorders>
            <w:shd w:val="clear" w:color="auto" w:fill="D5DCE4" w:themeFill="text2" w:themeFillTint="33"/>
            <w:vAlign w:val="center"/>
          </w:tcPr>
          <w:p w14:paraId="20C0D6B5" w14:textId="77777777" w:rsidR="00571156" w:rsidRPr="00A219DB" w:rsidRDefault="00571156" w:rsidP="002D569B">
            <w:pPr>
              <w:rPr>
                <w:rFonts w:ascii="Times New Roman" w:hAnsi="Times New Roman"/>
                <w:b/>
                <w:bCs/>
                <w:sz w:val="24"/>
                <w:szCs w:val="24"/>
                <w:lang w:val="ro-MD"/>
              </w:rPr>
            </w:pPr>
            <w:r w:rsidRPr="00A219DB">
              <w:rPr>
                <w:rFonts w:ascii="Times New Roman" w:hAnsi="Times New Roman"/>
                <w:b/>
                <w:bCs/>
                <w:sz w:val="24"/>
                <w:szCs w:val="24"/>
                <w:lang w:val="ro-MD"/>
              </w:rPr>
              <w:t>100%</w:t>
            </w:r>
          </w:p>
        </w:tc>
      </w:tr>
    </w:tbl>
    <w:p w14:paraId="4861ED9D" w14:textId="77777777" w:rsidR="00571156" w:rsidRPr="00A219DB" w:rsidRDefault="00571156" w:rsidP="00571156">
      <w:pPr>
        <w:pStyle w:val="a4"/>
        <w:rPr>
          <w:lang w:val="ro-MD" w:eastAsia="en-US"/>
        </w:rPr>
      </w:pPr>
    </w:p>
    <w:p w14:paraId="6FE57932" w14:textId="65C0BD5A" w:rsidR="00571156" w:rsidRDefault="00571156" w:rsidP="00347C4C">
      <w:pPr>
        <w:pStyle w:val="a7"/>
      </w:pPr>
      <w:r w:rsidRPr="00A219DB">
        <w:t xml:space="preserve">Analiza datelor referitoare la soluționarea cauzelor de către Curtea de Apel Cahul în anul 2020 evidențiază o creștere a volumului de activitate al instanței la acest indicator, cu </w:t>
      </w:r>
      <w:r w:rsidRPr="00A219DB">
        <w:rPr>
          <w:b/>
        </w:rPr>
        <w:t>14,2 %</w:t>
      </w:r>
      <w:r w:rsidRPr="00A219DB">
        <w:t xml:space="preserve"> față de 2018 și cu </w:t>
      </w:r>
      <w:r w:rsidRPr="00A219DB">
        <w:rPr>
          <w:b/>
        </w:rPr>
        <w:t>13,2 %</w:t>
      </w:r>
      <w:r w:rsidRPr="00A219DB">
        <w:t xml:space="preserve"> față de 2019. </w:t>
      </w:r>
    </w:p>
    <w:p w14:paraId="2E2D0049" w14:textId="77777777" w:rsidR="00571156" w:rsidRPr="00571156" w:rsidRDefault="00571156" w:rsidP="00571156">
      <w:pPr>
        <w:pStyle w:val="a4"/>
        <w:rPr>
          <w:lang w:val="ro-MD" w:eastAsia="en-US"/>
        </w:rPr>
      </w:pPr>
    </w:p>
    <w:p w14:paraId="4DB41890" w14:textId="77777777" w:rsidR="00571156" w:rsidRPr="00571156" w:rsidRDefault="00571156" w:rsidP="00571156">
      <w:pPr>
        <w:spacing w:before="40" w:after="40"/>
        <w:ind w:right="-2" w:firstLine="567"/>
        <w:jc w:val="both"/>
        <w:rPr>
          <w:rFonts w:ascii="Times New Roman" w:hAnsi="Times New Roman"/>
          <w:b/>
          <w:i/>
          <w:sz w:val="24"/>
          <w:szCs w:val="24"/>
          <w:lang w:val="ro-MD"/>
        </w:rPr>
      </w:pPr>
      <w:r w:rsidRPr="00571156">
        <w:rPr>
          <w:rFonts w:ascii="Times New Roman" w:hAnsi="Times New Roman"/>
          <w:b/>
          <w:i/>
          <w:sz w:val="24"/>
          <w:szCs w:val="24"/>
          <w:lang w:val="ro-MD"/>
        </w:rPr>
        <w:t>Tabelul nr.6: Rata cauzelor soluționate, pe  categorii de cauze în anul 2020, comparativ cu anii 2018 şi 2019</w:t>
      </w:r>
    </w:p>
    <w:p w14:paraId="111F2DF2" w14:textId="0547EF52" w:rsidR="00571156" w:rsidRPr="00A219DB" w:rsidRDefault="00571156" w:rsidP="00571156">
      <w:pPr>
        <w:spacing w:before="40" w:after="40"/>
        <w:ind w:left="567" w:right="567"/>
        <w:jc w:val="both"/>
        <w:rPr>
          <w:rFonts w:ascii="Times New Roman"/>
          <w:i/>
          <w:sz w:val="24"/>
          <w:szCs w:val="24"/>
          <w:lang w:val="ro-MD"/>
        </w:rPr>
      </w:pPr>
      <w:r w:rsidRPr="00A219DB">
        <w:rPr>
          <w:rFonts w:ascii="Times New Roman"/>
          <w:i/>
          <w:noProof/>
          <w:sz w:val="24"/>
          <w:szCs w:val="24"/>
          <w:lang w:val="ru-RU" w:eastAsia="ru-RU"/>
        </w:rPr>
        <w:drawing>
          <wp:inline distT="0" distB="0" distL="0" distR="0" wp14:anchorId="725F5105" wp14:editId="6D759DC7">
            <wp:extent cx="6362700" cy="3695700"/>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326A63" w14:textId="77777777" w:rsidR="00571156" w:rsidRPr="00A219DB" w:rsidRDefault="00571156" w:rsidP="004B4744">
      <w:pPr>
        <w:pStyle w:val="a4"/>
        <w:spacing w:before="40" w:after="40"/>
        <w:ind w:right="-2"/>
        <w:rPr>
          <w:lang w:val="ro-MD" w:eastAsia="en-US"/>
        </w:rPr>
      </w:pPr>
    </w:p>
    <w:p w14:paraId="27EEED35" w14:textId="77777777" w:rsidR="004B4744" w:rsidRDefault="004B4744" w:rsidP="00347C4C">
      <w:pPr>
        <w:pStyle w:val="a7"/>
      </w:pPr>
    </w:p>
    <w:p w14:paraId="16C4E743" w14:textId="77777777" w:rsidR="004B4744" w:rsidRDefault="004B4744" w:rsidP="00347C4C">
      <w:pPr>
        <w:pStyle w:val="a7"/>
      </w:pPr>
    </w:p>
    <w:p w14:paraId="4D285120" w14:textId="140ECC6B" w:rsidR="00571156" w:rsidRPr="00A219DB" w:rsidRDefault="00571156" w:rsidP="00347C4C">
      <w:pPr>
        <w:pStyle w:val="a7"/>
      </w:pPr>
      <w:r w:rsidRPr="00A219DB">
        <w:lastRenderedPageBreak/>
        <w:t xml:space="preserve">Dinamica dosarelor soluționate este diferențiată în raport de categoria cauzelor. </w:t>
      </w:r>
    </w:p>
    <w:p w14:paraId="1EBD0787" w14:textId="77777777" w:rsidR="00571156" w:rsidRDefault="00571156" w:rsidP="00347C4C">
      <w:pPr>
        <w:pStyle w:val="a7"/>
      </w:pPr>
      <w:r w:rsidRPr="00A219DB">
        <w:t>Cel mai mare număr de dosare soluționate în anul 2020 rămîn a fi cauzele penale cu 60%, după care urmează cauzele civile cu 20% și cauzele contravenționale 11%. Categoriilor de cauze comerciale, contencios administrativ, insolvabilitate le revin o pondere sub 10 % din volumul cauzelor soluționate.</w:t>
      </w:r>
    </w:p>
    <w:p w14:paraId="423ED89D" w14:textId="77777777" w:rsidR="004B4744" w:rsidRDefault="004B4744" w:rsidP="004B4744">
      <w:pPr>
        <w:pStyle w:val="a8"/>
        <w:ind w:left="360" w:right="567"/>
        <w:jc w:val="center"/>
        <w:rPr>
          <w:rFonts w:ascii="Times New Roman"/>
          <w:b/>
          <w:sz w:val="28"/>
          <w:szCs w:val="28"/>
          <w:lang w:val="ro-MD"/>
        </w:rPr>
      </w:pPr>
    </w:p>
    <w:p w14:paraId="1D080D9F" w14:textId="254AD0F4" w:rsidR="004B4744" w:rsidRPr="00A219DB" w:rsidRDefault="004B4744" w:rsidP="004B4744">
      <w:pPr>
        <w:pStyle w:val="a8"/>
        <w:ind w:left="0" w:right="567" w:firstLine="567"/>
        <w:jc w:val="center"/>
        <w:rPr>
          <w:rFonts w:ascii="Times New Roman"/>
          <w:b/>
          <w:sz w:val="28"/>
          <w:szCs w:val="28"/>
          <w:lang w:val="ro-MD"/>
        </w:rPr>
      </w:pPr>
      <w:r w:rsidRPr="00A219DB">
        <w:rPr>
          <w:rFonts w:ascii="Times New Roman"/>
          <w:b/>
          <w:sz w:val="28"/>
          <w:szCs w:val="28"/>
          <w:lang w:val="ro-MD"/>
        </w:rPr>
        <w:t>Ponderea stocului de cauze existent la sfârșitul perioadei de raportare</w:t>
      </w:r>
    </w:p>
    <w:p w14:paraId="58FF5B83" w14:textId="77777777" w:rsidR="004B4744" w:rsidRPr="00A219DB" w:rsidRDefault="004B4744" w:rsidP="004B4744">
      <w:pPr>
        <w:tabs>
          <w:tab w:val="left" w:pos="9214"/>
        </w:tabs>
        <w:ind w:right="-2" w:firstLine="567"/>
        <w:jc w:val="both"/>
        <w:rPr>
          <w:rFonts w:ascii="Times New Roman"/>
          <w:sz w:val="24"/>
          <w:szCs w:val="24"/>
          <w:lang w:val="ro-MD"/>
        </w:rPr>
      </w:pPr>
      <w:r w:rsidRPr="00A219DB">
        <w:rPr>
          <w:rFonts w:ascii="Times New Roman"/>
          <w:sz w:val="24"/>
          <w:szCs w:val="24"/>
          <w:lang w:val="ro-MD"/>
        </w:rPr>
        <w:t>Analiza cauzelor pendinte la sf</w:t>
      </w:r>
      <w:r w:rsidRPr="00A219DB">
        <w:rPr>
          <w:rFonts w:ascii="Times New Roman"/>
          <w:sz w:val="24"/>
          <w:szCs w:val="24"/>
          <w:lang w:val="ro-MD"/>
        </w:rPr>
        <w:t>â</w:t>
      </w:r>
      <w:r w:rsidRPr="00A219DB">
        <w:rPr>
          <w:rFonts w:ascii="Times New Roman"/>
          <w:sz w:val="24"/>
          <w:szCs w:val="24"/>
          <w:lang w:val="ro-MD"/>
        </w:rPr>
        <w:t>r</w:t>
      </w:r>
      <w:r w:rsidRPr="00A219DB">
        <w:rPr>
          <w:rFonts w:ascii="Times New Roman"/>
          <w:sz w:val="24"/>
          <w:szCs w:val="24"/>
          <w:lang w:val="ro-MD"/>
        </w:rPr>
        <w:t>ș</w:t>
      </w:r>
      <w:r w:rsidRPr="00A219DB">
        <w:rPr>
          <w:rFonts w:ascii="Times New Roman"/>
          <w:sz w:val="24"/>
          <w:szCs w:val="24"/>
          <w:lang w:val="ro-MD"/>
        </w:rPr>
        <w:t>itul perioadei de raportare, se prezint</w:t>
      </w:r>
      <w:r w:rsidRPr="00A219DB">
        <w:rPr>
          <w:rFonts w:ascii="Times New Roman"/>
          <w:sz w:val="24"/>
          <w:szCs w:val="24"/>
          <w:lang w:val="ro-MD"/>
        </w:rPr>
        <w:t>ă</w:t>
      </w:r>
      <w:r w:rsidRPr="00A219DB">
        <w:rPr>
          <w:rFonts w:ascii="Times New Roman"/>
          <w:sz w:val="24"/>
          <w:szCs w:val="24"/>
          <w:lang w:val="ro-MD"/>
        </w:rPr>
        <w:t xml:space="preserve"> </w:t>
      </w:r>
      <w:r w:rsidRPr="00A219DB">
        <w:rPr>
          <w:rFonts w:ascii="Times New Roman"/>
          <w:sz w:val="24"/>
          <w:szCs w:val="24"/>
          <w:lang w:val="ro-MD"/>
        </w:rPr>
        <w:t>î</w:t>
      </w:r>
      <w:r w:rsidRPr="00A219DB">
        <w:rPr>
          <w:rFonts w:ascii="Times New Roman"/>
          <w:sz w:val="24"/>
          <w:szCs w:val="24"/>
          <w:lang w:val="ro-MD"/>
        </w:rPr>
        <w:t>n tabelul de mai jos:</w:t>
      </w:r>
    </w:p>
    <w:p w14:paraId="576686C2" w14:textId="77777777" w:rsidR="004B4744" w:rsidRPr="00E10381" w:rsidRDefault="004B4744" w:rsidP="004B4744">
      <w:pPr>
        <w:pStyle w:val="a4"/>
        <w:spacing w:after="0"/>
        <w:ind w:left="1134" w:right="567"/>
        <w:jc w:val="both"/>
        <w:rPr>
          <w:rFonts w:ascii="Times New Roman"/>
          <w:b/>
          <w:bCs/>
          <w:i/>
          <w:sz w:val="24"/>
          <w:szCs w:val="24"/>
          <w:lang w:val="ro-MD"/>
        </w:rPr>
      </w:pPr>
      <w:r w:rsidRPr="00E10381">
        <w:rPr>
          <w:rFonts w:ascii="Times New Roman"/>
          <w:b/>
          <w:bCs/>
          <w:i/>
          <w:sz w:val="24"/>
          <w:szCs w:val="24"/>
          <w:lang w:val="ro-MD"/>
        </w:rPr>
        <w:t xml:space="preserve">Tabelul nr. </w:t>
      </w:r>
      <w:r>
        <w:rPr>
          <w:rFonts w:ascii="Times New Roman"/>
          <w:b/>
          <w:bCs/>
          <w:i/>
          <w:sz w:val="24"/>
          <w:szCs w:val="24"/>
          <w:lang w:val="ro-MD"/>
        </w:rPr>
        <w:t>7</w:t>
      </w:r>
      <w:r w:rsidRPr="00E10381">
        <w:rPr>
          <w:rFonts w:ascii="Times New Roman"/>
          <w:b/>
          <w:bCs/>
          <w:i/>
          <w:sz w:val="24"/>
          <w:szCs w:val="24"/>
          <w:lang w:val="ro-MD"/>
        </w:rPr>
        <w:t>: Cauzele pendinte la sf</w:t>
      </w:r>
      <w:r w:rsidRPr="00E10381">
        <w:rPr>
          <w:rFonts w:ascii="Times New Roman"/>
          <w:b/>
          <w:bCs/>
          <w:i/>
          <w:sz w:val="24"/>
          <w:szCs w:val="24"/>
          <w:lang w:val="ro-MD"/>
        </w:rPr>
        <w:t>â</w:t>
      </w:r>
      <w:r w:rsidRPr="00E10381">
        <w:rPr>
          <w:rFonts w:ascii="Times New Roman"/>
          <w:b/>
          <w:bCs/>
          <w:i/>
          <w:sz w:val="24"/>
          <w:szCs w:val="24"/>
          <w:lang w:val="ro-MD"/>
        </w:rPr>
        <w:t>r</w:t>
      </w:r>
      <w:r w:rsidRPr="00E10381">
        <w:rPr>
          <w:rFonts w:ascii="Times New Roman"/>
          <w:b/>
          <w:bCs/>
          <w:i/>
          <w:sz w:val="24"/>
          <w:szCs w:val="24"/>
          <w:lang w:val="ro-MD"/>
        </w:rPr>
        <w:t>ș</w:t>
      </w:r>
      <w:r w:rsidRPr="00E10381">
        <w:rPr>
          <w:rFonts w:ascii="Times New Roman"/>
          <w:b/>
          <w:bCs/>
          <w:i/>
          <w:sz w:val="24"/>
          <w:szCs w:val="24"/>
          <w:lang w:val="ro-MD"/>
        </w:rPr>
        <w:t xml:space="preserve">itul anului, per categorii, </w:t>
      </w:r>
      <w:r w:rsidRPr="00E10381">
        <w:rPr>
          <w:rFonts w:ascii="Times New Roman"/>
          <w:b/>
          <w:bCs/>
          <w:i/>
          <w:sz w:val="24"/>
          <w:szCs w:val="24"/>
          <w:lang w:val="ro-MD"/>
        </w:rPr>
        <w:t>î</w:t>
      </w:r>
      <w:r w:rsidRPr="00E10381">
        <w:rPr>
          <w:rFonts w:ascii="Times New Roman"/>
          <w:b/>
          <w:bCs/>
          <w:i/>
          <w:sz w:val="24"/>
          <w:szCs w:val="24"/>
          <w:lang w:val="ro-MD"/>
        </w:rPr>
        <w:t>ntre 2018-2020</w:t>
      </w:r>
    </w:p>
    <w:tbl>
      <w:tblPr>
        <w:tblW w:w="9586" w:type="dxa"/>
        <w:tblInd w:w="137" w:type="dxa"/>
        <w:tblLook w:val="04A0" w:firstRow="1" w:lastRow="0" w:firstColumn="1" w:lastColumn="0" w:noHBand="0" w:noVBand="1"/>
      </w:tblPr>
      <w:tblGrid>
        <w:gridCol w:w="2610"/>
        <w:gridCol w:w="1049"/>
        <w:gridCol w:w="1275"/>
        <w:gridCol w:w="1049"/>
        <w:gridCol w:w="1121"/>
        <w:gridCol w:w="1241"/>
        <w:gridCol w:w="1241"/>
      </w:tblGrid>
      <w:tr w:rsidR="004B4744" w:rsidRPr="00A219DB" w14:paraId="396B7EE1" w14:textId="77777777" w:rsidTr="004B4744">
        <w:trPr>
          <w:trHeight w:val="590"/>
        </w:trPr>
        <w:tc>
          <w:tcPr>
            <w:tcW w:w="26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4C95F9"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Tipul de cauze</w:t>
            </w:r>
          </w:p>
        </w:tc>
        <w:tc>
          <w:tcPr>
            <w:tcW w:w="10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C222E98"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2018</w:t>
            </w:r>
          </w:p>
        </w:tc>
        <w:tc>
          <w:tcPr>
            <w:tcW w:w="127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66285D0"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2019</w:t>
            </w:r>
          </w:p>
        </w:tc>
        <w:tc>
          <w:tcPr>
            <w:tcW w:w="104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CB45B7F"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2020</w:t>
            </w:r>
          </w:p>
        </w:tc>
        <w:tc>
          <w:tcPr>
            <w:tcW w:w="1121" w:type="dxa"/>
            <w:tcBorders>
              <w:top w:val="single" w:sz="4" w:space="0" w:color="auto"/>
              <w:left w:val="nil"/>
              <w:bottom w:val="single" w:sz="4" w:space="0" w:color="auto"/>
              <w:right w:val="single" w:sz="4" w:space="0" w:color="auto"/>
            </w:tcBorders>
            <w:shd w:val="clear" w:color="auto" w:fill="D5DCE4" w:themeFill="text2" w:themeFillTint="33"/>
            <w:vAlign w:val="center"/>
          </w:tcPr>
          <w:p w14:paraId="3E26F64C"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2018</w:t>
            </w:r>
          </w:p>
        </w:tc>
        <w:tc>
          <w:tcPr>
            <w:tcW w:w="1241" w:type="dxa"/>
            <w:tcBorders>
              <w:top w:val="single" w:sz="4" w:space="0" w:color="auto"/>
              <w:left w:val="nil"/>
              <w:bottom w:val="single" w:sz="4" w:space="0" w:color="auto"/>
              <w:right w:val="single" w:sz="4" w:space="0" w:color="auto"/>
            </w:tcBorders>
            <w:shd w:val="clear" w:color="auto" w:fill="D5DCE4" w:themeFill="text2" w:themeFillTint="33"/>
            <w:vAlign w:val="center"/>
          </w:tcPr>
          <w:p w14:paraId="77C38F4F"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2019</w:t>
            </w:r>
          </w:p>
        </w:tc>
        <w:tc>
          <w:tcPr>
            <w:tcW w:w="12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5DB167"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2020</w:t>
            </w:r>
          </w:p>
        </w:tc>
      </w:tr>
      <w:tr w:rsidR="004B4744" w:rsidRPr="00A219DB" w14:paraId="239C25EB" w14:textId="77777777" w:rsidTr="004B4744">
        <w:trPr>
          <w:trHeight w:val="549"/>
        </w:trPr>
        <w:tc>
          <w:tcPr>
            <w:tcW w:w="261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EF5BFF"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 xml:space="preserve">Total cauze civile </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58A932CE"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71</w:t>
            </w:r>
          </w:p>
        </w:tc>
        <w:tc>
          <w:tcPr>
            <w:tcW w:w="1275" w:type="dxa"/>
            <w:tcBorders>
              <w:top w:val="nil"/>
              <w:left w:val="nil"/>
              <w:bottom w:val="single" w:sz="4" w:space="0" w:color="auto"/>
              <w:right w:val="single" w:sz="4" w:space="0" w:color="auto"/>
            </w:tcBorders>
            <w:shd w:val="clear" w:color="auto" w:fill="D5DCE4" w:themeFill="text2" w:themeFillTint="33"/>
            <w:vAlign w:val="center"/>
            <w:hideMark/>
          </w:tcPr>
          <w:p w14:paraId="6E0EFBB3"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50</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4FDAED53"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55</w:t>
            </w:r>
          </w:p>
        </w:tc>
        <w:tc>
          <w:tcPr>
            <w:tcW w:w="1121" w:type="dxa"/>
            <w:tcBorders>
              <w:top w:val="nil"/>
              <w:left w:val="nil"/>
              <w:bottom w:val="single" w:sz="4" w:space="0" w:color="auto"/>
              <w:right w:val="single" w:sz="4" w:space="0" w:color="auto"/>
            </w:tcBorders>
            <w:shd w:val="clear" w:color="auto" w:fill="D5DCE4" w:themeFill="text2" w:themeFillTint="33"/>
            <w:vAlign w:val="center"/>
          </w:tcPr>
          <w:p w14:paraId="1CCF6731"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32%</w:t>
            </w:r>
          </w:p>
        </w:tc>
        <w:tc>
          <w:tcPr>
            <w:tcW w:w="1241" w:type="dxa"/>
            <w:tcBorders>
              <w:top w:val="nil"/>
              <w:left w:val="nil"/>
              <w:bottom w:val="single" w:sz="4" w:space="0" w:color="auto"/>
              <w:right w:val="single" w:sz="4" w:space="0" w:color="auto"/>
            </w:tcBorders>
            <w:shd w:val="clear" w:color="auto" w:fill="D5DCE4" w:themeFill="text2" w:themeFillTint="33"/>
            <w:vAlign w:val="center"/>
          </w:tcPr>
          <w:p w14:paraId="5BB674B4"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24%</w:t>
            </w:r>
          </w:p>
        </w:tc>
        <w:tc>
          <w:tcPr>
            <w:tcW w:w="1241" w:type="dxa"/>
            <w:tcBorders>
              <w:top w:val="nil"/>
              <w:left w:val="single" w:sz="4" w:space="0" w:color="auto"/>
              <w:bottom w:val="single" w:sz="4" w:space="0" w:color="auto"/>
              <w:right w:val="single" w:sz="4" w:space="0" w:color="auto"/>
            </w:tcBorders>
            <w:shd w:val="clear" w:color="auto" w:fill="D5DCE4" w:themeFill="text2" w:themeFillTint="33"/>
            <w:vAlign w:val="center"/>
          </w:tcPr>
          <w:p w14:paraId="01A7F62F"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21%</w:t>
            </w:r>
          </w:p>
        </w:tc>
      </w:tr>
      <w:tr w:rsidR="004B4744" w:rsidRPr="00A219DB" w14:paraId="75FBD003" w14:textId="77777777" w:rsidTr="004B4744">
        <w:trPr>
          <w:trHeight w:val="543"/>
        </w:trPr>
        <w:tc>
          <w:tcPr>
            <w:tcW w:w="261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676EBB"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 xml:space="preserve">Total cauze comerciale </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730FD06A"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16</w:t>
            </w:r>
          </w:p>
        </w:tc>
        <w:tc>
          <w:tcPr>
            <w:tcW w:w="1275" w:type="dxa"/>
            <w:tcBorders>
              <w:top w:val="nil"/>
              <w:left w:val="nil"/>
              <w:bottom w:val="single" w:sz="4" w:space="0" w:color="auto"/>
              <w:right w:val="single" w:sz="4" w:space="0" w:color="auto"/>
            </w:tcBorders>
            <w:shd w:val="clear" w:color="auto" w:fill="D5DCE4" w:themeFill="text2" w:themeFillTint="33"/>
            <w:vAlign w:val="center"/>
            <w:hideMark/>
          </w:tcPr>
          <w:p w14:paraId="40BB57D0"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10</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6E249037"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12</w:t>
            </w:r>
          </w:p>
        </w:tc>
        <w:tc>
          <w:tcPr>
            <w:tcW w:w="1121" w:type="dxa"/>
            <w:tcBorders>
              <w:top w:val="nil"/>
              <w:left w:val="nil"/>
              <w:bottom w:val="single" w:sz="4" w:space="0" w:color="auto"/>
              <w:right w:val="single" w:sz="4" w:space="0" w:color="auto"/>
            </w:tcBorders>
            <w:shd w:val="clear" w:color="auto" w:fill="D5DCE4" w:themeFill="text2" w:themeFillTint="33"/>
            <w:vAlign w:val="center"/>
          </w:tcPr>
          <w:p w14:paraId="0BBD7D07"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7%</w:t>
            </w:r>
          </w:p>
        </w:tc>
        <w:tc>
          <w:tcPr>
            <w:tcW w:w="1241" w:type="dxa"/>
            <w:tcBorders>
              <w:top w:val="nil"/>
              <w:left w:val="nil"/>
              <w:bottom w:val="single" w:sz="4" w:space="0" w:color="auto"/>
              <w:right w:val="single" w:sz="4" w:space="0" w:color="auto"/>
            </w:tcBorders>
            <w:shd w:val="clear" w:color="auto" w:fill="D5DCE4" w:themeFill="text2" w:themeFillTint="33"/>
            <w:vAlign w:val="center"/>
          </w:tcPr>
          <w:p w14:paraId="7F723082"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5%</w:t>
            </w:r>
          </w:p>
        </w:tc>
        <w:tc>
          <w:tcPr>
            <w:tcW w:w="1241" w:type="dxa"/>
            <w:tcBorders>
              <w:top w:val="nil"/>
              <w:left w:val="single" w:sz="4" w:space="0" w:color="auto"/>
              <w:bottom w:val="single" w:sz="4" w:space="0" w:color="auto"/>
              <w:right w:val="single" w:sz="4" w:space="0" w:color="auto"/>
            </w:tcBorders>
            <w:shd w:val="clear" w:color="auto" w:fill="D5DCE4" w:themeFill="text2" w:themeFillTint="33"/>
            <w:vAlign w:val="center"/>
          </w:tcPr>
          <w:p w14:paraId="5ABBE98E"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5%</w:t>
            </w:r>
          </w:p>
        </w:tc>
      </w:tr>
      <w:tr w:rsidR="004B4744" w:rsidRPr="00A219DB" w14:paraId="644FED67" w14:textId="77777777" w:rsidTr="004B4744">
        <w:trPr>
          <w:trHeight w:val="551"/>
        </w:trPr>
        <w:tc>
          <w:tcPr>
            <w:tcW w:w="261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6804B7"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Total cauze insolvabilitate</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2989C39D"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0</w:t>
            </w:r>
          </w:p>
        </w:tc>
        <w:tc>
          <w:tcPr>
            <w:tcW w:w="1275" w:type="dxa"/>
            <w:tcBorders>
              <w:top w:val="nil"/>
              <w:left w:val="nil"/>
              <w:bottom w:val="single" w:sz="4" w:space="0" w:color="auto"/>
              <w:right w:val="single" w:sz="4" w:space="0" w:color="auto"/>
            </w:tcBorders>
            <w:shd w:val="clear" w:color="auto" w:fill="D5DCE4" w:themeFill="text2" w:themeFillTint="33"/>
            <w:vAlign w:val="center"/>
            <w:hideMark/>
          </w:tcPr>
          <w:p w14:paraId="25221D6D"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28CFABB3"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4</w:t>
            </w:r>
          </w:p>
        </w:tc>
        <w:tc>
          <w:tcPr>
            <w:tcW w:w="1121" w:type="dxa"/>
            <w:tcBorders>
              <w:top w:val="nil"/>
              <w:left w:val="nil"/>
              <w:bottom w:val="single" w:sz="4" w:space="0" w:color="auto"/>
              <w:right w:val="single" w:sz="4" w:space="0" w:color="auto"/>
            </w:tcBorders>
            <w:shd w:val="clear" w:color="auto" w:fill="D5DCE4" w:themeFill="text2" w:themeFillTint="33"/>
            <w:vAlign w:val="center"/>
          </w:tcPr>
          <w:p w14:paraId="41FAC858"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0%</w:t>
            </w:r>
          </w:p>
        </w:tc>
        <w:tc>
          <w:tcPr>
            <w:tcW w:w="1241" w:type="dxa"/>
            <w:tcBorders>
              <w:top w:val="nil"/>
              <w:left w:val="nil"/>
              <w:bottom w:val="single" w:sz="4" w:space="0" w:color="auto"/>
              <w:right w:val="single" w:sz="4" w:space="0" w:color="auto"/>
            </w:tcBorders>
            <w:shd w:val="clear" w:color="auto" w:fill="D5DCE4" w:themeFill="text2" w:themeFillTint="33"/>
            <w:vAlign w:val="center"/>
          </w:tcPr>
          <w:p w14:paraId="4CE4BB66"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0%</w:t>
            </w:r>
          </w:p>
        </w:tc>
        <w:tc>
          <w:tcPr>
            <w:tcW w:w="1241" w:type="dxa"/>
            <w:tcBorders>
              <w:top w:val="nil"/>
              <w:left w:val="single" w:sz="4" w:space="0" w:color="auto"/>
              <w:bottom w:val="single" w:sz="4" w:space="0" w:color="auto"/>
              <w:right w:val="single" w:sz="4" w:space="0" w:color="auto"/>
            </w:tcBorders>
            <w:shd w:val="clear" w:color="auto" w:fill="D5DCE4" w:themeFill="text2" w:themeFillTint="33"/>
            <w:vAlign w:val="center"/>
          </w:tcPr>
          <w:p w14:paraId="7DF61350"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2%</w:t>
            </w:r>
          </w:p>
        </w:tc>
      </w:tr>
      <w:tr w:rsidR="004B4744" w:rsidRPr="00A219DB" w14:paraId="6BDBE372" w14:textId="77777777" w:rsidTr="004B4744">
        <w:trPr>
          <w:trHeight w:val="419"/>
        </w:trPr>
        <w:tc>
          <w:tcPr>
            <w:tcW w:w="261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5386AC"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Total cauze de contencios administrativ</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446250CC"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17</w:t>
            </w:r>
          </w:p>
        </w:tc>
        <w:tc>
          <w:tcPr>
            <w:tcW w:w="1275" w:type="dxa"/>
            <w:tcBorders>
              <w:top w:val="nil"/>
              <w:left w:val="nil"/>
              <w:bottom w:val="single" w:sz="4" w:space="0" w:color="auto"/>
              <w:right w:val="single" w:sz="4" w:space="0" w:color="auto"/>
            </w:tcBorders>
            <w:shd w:val="clear" w:color="auto" w:fill="D5DCE4" w:themeFill="text2" w:themeFillTint="33"/>
            <w:vAlign w:val="center"/>
            <w:hideMark/>
          </w:tcPr>
          <w:p w14:paraId="0AC2738F"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20</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60D7F96F"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27</w:t>
            </w:r>
          </w:p>
        </w:tc>
        <w:tc>
          <w:tcPr>
            <w:tcW w:w="1121" w:type="dxa"/>
            <w:tcBorders>
              <w:top w:val="nil"/>
              <w:left w:val="nil"/>
              <w:bottom w:val="single" w:sz="4" w:space="0" w:color="auto"/>
              <w:right w:val="single" w:sz="4" w:space="0" w:color="auto"/>
            </w:tcBorders>
            <w:shd w:val="clear" w:color="auto" w:fill="D5DCE4" w:themeFill="text2" w:themeFillTint="33"/>
            <w:vAlign w:val="center"/>
          </w:tcPr>
          <w:p w14:paraId="5888F1E9"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8%</w:t>
            </w:r>
          </w:p>
        </w:tc>
        <w:tc>
          <w:tcPr>
            <w:tcW w:w="1241" w:type="dxa"/>
            <w:tcBorders>
              <w:top w:val="nil"/>
              <w:left w:val="nil"/>
              <w:bottom w:val="single" w:sz="4" w:space="0" w:color="auto"/>
              <w:right w:val="single" w:sz="4" w:space="0" w:color="auto"/>
            </w:tcBorders>
            <w:shd w:val="clear" w:color="auto" w:fill="D5DCE4" w:themeFill="text2" w:themeFillTint="33"/>
            <w:vAlign w:val="center"/>
          </w:tcPr>
          <w:p w14:paraId="18B568A4"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10%</w:t>
            </w:r>
          </w:p>
        </w:tc>
        <w:tc>
          <w:tcPr>
            <w:tcW w:w="1241" w:type="dxa"/>
            <w:tcBorders>
              <w:top w:val="nil"/>
              <w:left w:val="single" w:sz="4" w:space="0" w:color="auto"/>
              <w:bottom w:val="single" w:sz="4" w:space="0" w:color="auto"/>
              <w:right w:val="single" w:sz="4" w:space="0" w:color="auto"/>
            </w:tcBorders>
            <w:shd w:val="clear" w:color="auto" w:fill="D5DCE4" w:themeFill="text2" w:themeFillTint="33"/>
            <w:vAlign w:val="center"/>
          </w:tcPr>
          <w:p w14:paraId="027C0BC3"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10%</w:t>
            </w:r>
          </w:p>
        </w:tc>
      </w:tr>
      <w:tr w:rsidR="004B4744" w:rsidRPr="00A219DB" w14:paraId="543D8BEB" w14:textId="77777777" w:rsidTr="004B4744">
        <w:trPr>
          <w:trHeight w:val="553"/>
        </w:trPr>
        <w:tc>
          <w:tcPr>
            <w:tcW w:w="261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B181AD"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Total cauze penale</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4DC8C4F4"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110</w:t>
            </w:r>
          </w:p>
        </w:tc>
        <w:tc>
          <w:tcPr>
            <w:tcW w:w="1275" w:type="dxa"/>
            <w:tcBorders>
              <w:top w:val="nil"/>
              <w:left w:val="nil"/>
              <w:bottom w:val="single" w:sz="4" w:space="0" w:color="auto"/>
              <w:right w:val="single" w:sz="4" w:space="0" w:color="auto"/>
            </w:tcBorders>
            <w:shd w:val="clear" w:color="auto" w:fill="D5DCE4" w:themeFill="text2" w:themeFillTint="33"/>
            <w:vAlign w:val="center"/>
            <w:hideMark/>
          </w:tcPr>
          <w:p w14:paraId="2A38AF44"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98</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5BA88963"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144</w:t>
            </w:r>
          </w:p>
        </w:tc>
        <w:tc>
          <w:tcPr>
            <w:tcW w:w="1121" w:type="dxa"/>
            <w:tcBorders>
              <w:top w:val="nil"/>
              <w:left w:val="nil"/>
              <w:bottom w:val="single" w:sz="4" w:space="0" w:color="auto"/>
              <w:right w:val="single" w:sz="4" w:space="0" w:color="auto"/>
            </w:tcBorders>
            <w:shd w:val="clear" w:color="auto" w:fill="D5DCE4" w:themeFill="text2" w:themeFillTint="33"/>
            <w:vAlign w:val="center"/>
          </w:tcPr>
          <w:p w14:paraId="6BAB71F4"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49%</w:t>
            </w:r>
          </w:p>
        </w:tc>
        <w:tc>
          <w:tcPr>
            <w:tcW w:w="1241" w:type="dxa"/>
            <w:tcBorders>
              <w:top w:val="nil"/>
              <w:left w:val="nil"/>
              <w:bottom w:val="single" w:sz="4" w:space="0" w:color="auto"/>
              <w:right w:val="single" w:sz="4" w:space="0" w:color="auto"/>
            </w:tcBorders>
            <w:shd w:val="clear" w:color="auto" w:fill="D5DCE4" w:themeFill="text2" w:themeFillTint="33"/>
            <w:vAlign w:val="center"/>
          </w:tcPr>
          <w:p w14:paraId="2B3F996C"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47%</w:t>
            </w:r>
          </w:p>
        </w:tc>
        <w:tc>
          <w:tcPr>
            <w:tcW w:w="1241" w:type="dxa"/>
            <w:tcBorders>
              <w:top w:val="nil"/>
              <w:left w:val="single" w:sz="4" w:space="0" w:color="auto"/>
              <w:bottom w:val="single" w:sz="4" w:space="0" w:color="auto"/>
              <w:right w:val="single" w:sz="4" w:space="0" w:color="auto"/>
            </w:tcBorders>
            <w:shd w:val="clear" w:color="auto" w:fill="D5DCE4" w:themeFill="text2" w:themeFillTint="33"/>
            <w:vAlign w:val="center"/>
          </w:tcPr>
          <w:p w14:paraId="41EDA0C5"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54%</w:t>
            </w:r>
          </w:p>
        </w:tc>
      </w:tr>
      <w:tr w:rsidR="004B4744" w:rsidRPr="00A219DB" w14:paraId="13F98D12" w14:textId="77777777" w:rsidTr="004B4744">
        <w:trPr>
          <w:trHeight w:val="547"/>
        </w:trPr>
        <w:tc>
          <w:tcPr>
            <w:tcW w:w="261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2D94DB"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Total cauze contravenționale</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67B47145"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11</w:t>
            </w:r>
          </w:p>
        </w:tc>
        <w:tc>
          <w:tcPr>
            <w:tcW w:w="1275" w:type="dxa"/>
            <w:tcBorders>
              <w:top w:val="nil"/>
              <w:left w:val="nil"/>
              <w:bottom w:val="single" w:sz="4" w:space="0" w:color="auto"/>
              <w:right w:val="single" w:sz="4" w:space="0" w:color="auto"/>
            </w:tcBorders>
            <w:shd w:val="clear" w:color="auto" w:fill="D5DCE4" w:themeFill="text2" w:themeFillTint="33"/>
            <w:vAlign w:val="center"/>
            <w:hideMark/>
          </w:tcPr>
          <w:p w14:paraId="106A4A7F"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29</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58B8A93A"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23</w:t>
            </w:r>
          </w:p>
        </w:tc>
        <w:tc>
          <w:tcPr>
            <w:tcW w:w="1121" w:type="dxa"/>
            <w:tcBorders>
              <w:top w:val="nil"/>
              <w:left w:val="nil"/>
              <w:bottom w:val="single" w:sz="4" w:space="0" w:color="auto"/>
              <w:right w:val="single" w:sz="4" w:space="0" w:color="auto"/>
            </w:tcBorders>
            <w:shd w:val="clear" w:color="auto" w:fill="D5DCE4" w:themeFill="text2" w:themeFillTint="33"/>
            <w:vAlign w:val="center"/>
          </w:tcPr>
          <w:p w14:paraId="3F40EDA9"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5%</w:t>
            </w:r>
          </w:p>
        </w:tc>
        <w:tc>
          <w:tcPr>
            <w:tcW w:w="1241" w:type="dxa"/>
            <w:tcBorders>
              <w:top w:val="nil"/>
              <w:left w:val="nil"/>
              <w:bottom w:val="single" w:sz="4" w:space="0" w:color="auto"/>
              <w:right w:val="single" w:sz="4" w:space="0" w:color="auto"/>
            </w:tcBorders>
            <w:shd w:val="clear" w:color="auto" w:fill="D5DCE4" w:themeFill="text2" w:themeFillTint="33"/>
            <w:vAlign w:val="center"/>
          </w:tcPr>
          <w:p w14:paraId="38EA5332"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14%</w:t>
            </w:r>
          </w:p>
        </w:tc>
        <w:tc>
          <w:tcPr>
            <w:tcW w:w="1241" w:type="dxa"/>
            <w:tcBorders>
              <w:top w:val="nil"/>
              <w:left w:val="single" w:sz="4" w:space="0" w:color="auto"/>
              <w:bottom w:val="single" w:sz="4" w:space="0" w:color="auto"/>
              <w:right w:val="single" w:sz="4" w:space="0" w:color="auto"/>
            </w:tcBorders>
            <w:shd w:val="clear" w:color="auto" w:fill="D5DCE4" w:themeFill="text2" w:themeFillTint="33"/>
            <w:vAlign w:val="center"/>
          </w:tcPr>
          <w:p w14:paraId="10868719" w14:textId="77777777" w:rsidR="004B4744" w:rsidRPr="00A219DB" w:rsidRDefault="004B4744" w:rsidP="002D569B">
            <w:pPr>
              <w:spacing w:after="0" w:line="240" w:lineRule="auto"/>
              <w:rPr>
                <w:rFonts w:ascii="Times New Roman" w:hAnsi="Times New Roman"/>
                <w:sz w:val="24"/>
                <w:szCs w:val="24"/>
                <w:lang w:val="ro-MD"/>
              </w:rPr>
            </w:pPr>
            <w:r w:rsidRPr="00A219DB">
              <w:rPr>
                <w:rFonts w:ascii="Times New Roman" w:hAnsi="Times New Roman"/>
                <w:sz w:val="24"/>
                <w:szCs w:val="24"/>
                <w:lang w:val="ro-MD"/>
              </w:rPr>
              <w:t>9%</w:t>
            </w:r>
          </w:p>
        </w:tc>
      </w:tr>
      <w:tr w:rsidR="004B4744" w:rsidRPr="00A219DB" w14:paraId="3150D3EA" w14:textId="77777777" w:rsidTr="004B4744">
        <w:trPr>
          <w:trHeight w:val="409"/>
        </w:trPr>
        <w:tc>
          <w:tcPr>
            <w:tcW w:w="261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A5ADD9"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Totalul calculat de cauze</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5A0B5484"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225</w:t>
            </w:r>
          </w:p>
        </w:tc>
        <w:tc>
          <w:tcPr>
            <w:tcW w:w="1275" w:type="dxa"/>
            <w:tcBorders>
              <w:top w:val="nil"/>
              <w:left w:val="nil"/>
              <w:bottom w:val="single" w:sz="4" w:space="0" w:color="auto"/>
              <w:right w:val="single" w:sz="4" w:space="0" w:color="auto"/>
            </w:tcBorders>
            <w:shd w:val="clear" w:color="auto" w:fill="D5DCE4" w:themeFill="text2" w:themeFillTint="33"/>
            <w:vAlign w:val="center"/>
            <w:hideMark/>
          </w:tcPr>
          <w:p w14:paraId="7FB6415D"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208</w:t>
            </w:r>
          </w:p>
        </w:tc>
        <w:tc>
          <w:tcPr>
            <w:tcW w:w="1049" w:type="dxa"/>
            <w:tcBorders>
              <w:top w:val="nil"/>
              <w:left w:val="nil"/>
              <w:bottom w:val="single" w:sz="4" w:space="0" w:color="auto"/>
              <w:right w:val="single" w:sz="4" w:space="0" w:color="auto"/>
            </w:tcBorders>
            <w:shd w:val="clear" w:color="auto" w:fill="D5DCE4" w:themeFill="text2" w:themeFillTint="33"/>
            <w:vAlign w:val="center"/>
            <w:hideMark/>
          </w:tcPr>
          <w:p w14:paraId="0DF67ED4"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265</w:t>
            </w:r>
          </w:p>
        </w:tc>
        <w:tc>
          <w:tcPr>
            <w:tcW w:w="1121" w:type="dxa"/>
            <w:tcBorders>
              <w:top w:val="nil"/>
              <w:left w:val="nil"/>
              <w:bottom w:val="single" w:sz="4" w:space="0" w:color="auto"/>
              <w:right w:val="single" w:sz="4" w:space="0" w:color="auto"/>
            </w:tcBorders>
            <w:shd w:val="clear" w:color="auto" w:fill="D5DCE4" w:themeFill="text2" w:themeFillTint="33"/>
            <w:vAlign w:val="center"/>
          </w:tcPr>
          <w:p w14:paraId="446C502D"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100%</w:t>
            </w:r>
          </w:p>
        </w:tc>
        <w:tc>
          <w:tcPr>
            <w:tcW w:w="1241" w:type="dxa"/>
            <w:tcBorders>
              <w:top w:val="nil"/>
              <w:left w:val="nil"/>
              <w:bottom w:val="single" w:sz="4" w:space="0" w:color="auto"/>
              <w:right w:val="single" w:sz="4" w:space="0" w:color="auto"/>
            </w:tcBorders>
            <w:shd w:val="clear" w:color="auto" w:fill="D5DCE4" w:themeFill="text2" w:themeFillTint="33"/>
            <w:vAlign w:val="center"/>
          </w:tcPr>
          <w:p w14:paraId="0A4C9AEE"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100%</w:t>
            </w:r>
          </w:p>
        </w:tc>
        <w:tc>
          <w:tcPr>
            <w:tcW w:w="1241" w:type="dxa"/>
            <w:tcBorders>
              <w:top w:val="nil"/>
              <w:left w:val="single" w:sz="4" w:space="0" w:color="auto"/>
              <w:bottom w:val="single" w:sz="4" w:space="0" w:color="auto"/>
              <w:right w:val="single" w:sz="4" w:space="0" w:color="auto"/>
            </w:tcBorders>
            <w:shd w:val="clear" w:color="auto" w:fill="D5DCE4" w:themeFill="text2" w:themeFillTint="33"/>
            <w:vAlign w:val="center"/>
          </w:tcPr>
          <w:p w14:paraId="37E04200" w14:textId="77777777" w:rsidR="004B4744" w:rsidRPr="00A219DB" w:rsidRDefault="004B4744" w:rsidP="002D569B">
            <w:pPr>
              <w:spacing w:after="0" w:line="240" w:lineRule="auto"/>
              <w:rPr>
                <w:rFonts w:ascii="Times New Roman" w:hAnsi="Times New Roman"/>
                <w:b/>
                <w:bCs/>
                <w:sz w:val="24"/>
                <w:szCs w:val="24"/>
                <w:lang w:val="ro-MD"/>
              </w:rPr>
            </w:pPr>
            <w:r w:rsidRPr="00A219DB">
              <w:rPr>
                <w:rFonts w:ascii="Times New Roman" w:hAnsi="Times New Roman"/>
                <w:b/>
                <w:bCs/>
                <w:sz w:val="24"/>
                <w:szCs w:val="24"/>
                <w:lang w:val="ro-MD"/>
              </w:rPr>
              <w:t>100%</w:t>
            </w:r>
          </w:p>
        </w:tc>
      </w:tr>
    </w:tbl>
    <w:p w14:paraId="04DE90A7" w14:textId="77777777" w:rsidR="004B4744" w:rsidRPr="00A219DB" w:rsidRDefault="004B4744" w:rsidP="00347C4C">
      <w:pPr>
        <w:pStyle w:val="a7"/>
      </w:pPr>
    </w:p>
    <w:p w14:paraId="69600592" w14:textId="77777777" w:rsidR="004B4744" w:rsidRDefault="004B4744" w:rsidP="00347C4C">
      <w:pPr>
        <w:pStyle w:val="a7"/>
      </w:pPr>
      <w:r w:rsidRPr="00A219DB">
        <w:t xml:space="preserve">Conform datelor la sfîrșitul perioadei de raportare, la Curtea de Apel Cahul, în anul 2020, cauzele pendinte reprezintă 12,7% din numǎrul total de cauze aflate </w:t>
      </w:r>
      <w:r w:rsidRPr="00A219DB">
        <w:rPr>
          <w:rFonts w:ascii="Calibri" w:hAnsi="Calibri" w:cs="Calibri"/>
        </w:rPr>
        <w:t>î</w:t>
      </w:r>
      <w:r w:rsidRPr="00A219DB">
        <w:t>n procedurǎ, cu 14,7% cauze mai mult decît în anul 2018 și cu 21,5% cauze mai mult decît în anul 2019.</w:t>
      </w:r>
    </w:p>
    <w:p w14:paraId="23C2A701" w14:textId="77777777" w:rsidR="004B4744" w:rsidRPr="00E10381" w:rsidRDefault="004B4744" w:rsidP="004B4744">
      <w:pPr>
        <w:pStyle w:val="a4"/>
        <w:rPr>
          <w:lang w:val="ro-MD" w:eastAsia="en-US"/>
        </w:rPr>
      </w:pPr>
    </w:p>
    <w:p w14:paraId="7D8D9997" w14:textId="77777777" w:rsidR="004B4744" w:rsidRPr="004B4744" w:rsidRDefault="004B4744" w:rsidP="004B4744">
      <w:pPr>
        <w:ind w:right="-2" w:firstLine="567"/>
        <w:jc w:val="both"/>
        <w:rPr>
          <w:rFonts w:ascii="Times New Roman" w:hAnsi="Times New Roman"/>
          <w:b/>
          <w:sz w:val="24"/>
          <w:szCs w:val="24"/>
          <w:lang w:val="ro-MD"/>
        </w:rPr>
      </w:pPr>
      <w:r w:rsidRPr="004B4744">
        <w:rPr>
          <w:rFonts w:ascii="Times New Roman"/>
          <w:b/>
          <w:i/>
          <w:sz w:val="24"/>
          <w:szCs w:val="24"/>
          <w:lang w:val="ro-MD"/>
        </w:rPr>
        <w:t>Tabelul nr. 8: Rata cauzelor pendinte la sf</w:t>
      </w:r>
      <w:r w:rsidRPr="004B4744">
        <w:rPr>
          <w:rFonts w:ascii="Times New Roman"/>
          <w:b/>
          <w:i/>
          <w:sz w:val="24"/>
          <w:szCs w:val="24"/>
          <w:lang w:val="ro-MD"/>
        </w:rPr>
        <w:t>â</w:t>
      </w:r>
      <w:r w:rsidRPr="004B4744">
        <w:rPr>
          <w:rFonts w:ascii="Times New Roman"/>
          <w:b/>
          <w:i/>
          <w:sz w:val="24"/>
          <w:szCs w:val="24"/>
          <w:lang w:val="ro-MD"/>
        </w:rPr>
        <w:t>r</w:t>
      </w:r>
      <w:r w:rsidRPr="004B4744">
        <w:rPr>
          <w:rFonts w:ascii="Times New Roman"/>
          <w:b/>
          <w:i/>
          <w:sz w:val="24"/>
          <w:szCs w:val="24"/>
          <w:lang w:val="ro-MD"/>
        </w:rPr>
        <w:t>ș</w:t>
      </w:r>
      <w:r w:rsidRPr="004B4744">
        <w:rPr>
          <w:rFonts w:ascii="Times New Roman"/>
          <w:b/>
          <w:i/>
          <w:sz w:val="24"/>
          <w:szCs w:val="24"/>
          <w:lang w:val="ro-MD"/>
        </w:rPr>
        <w:t xml:space="preserve">itul anului, pe categorii </w:t>
      </w:r>
      <w:r w:rsidRPr="004B4744">
        <w:rPr>
          <w:rFonts w:ascii="Calibri" w:hAnsi="Calibri" w:cs="Calibri"/>
          <w:b/>
          <w:i/>
          <w:sz w:val="24"/>
          <w:szCs w:val="24"/>
          <w:lang w:val="ro-MD"/>
        </w:rPr>
        <w:t>î</w:t>
      </w:r>
      <w:r w:rsidRPr="004B4744">
        <w:rPr>
          <w:rFonts w:ascii="Times New Roman"/>
          <w:b/>
          <w:i/>
          <w:sz w:val="24"/>
          <w:szCs w:val="24"/>
          <w:lang w:val="ro-MD"/>
        </w:rPr>
        <w:t xml:space="preserve">n anul 2020 </w:t>
      </w:r>
    </w:p>
    <w:p w14:paraId="51677936" w14:textId="57C0EE5F" w:rsidR="00571156" w:rsidRPr="00A219DB" w:rsidRDefault="004B4744" w:rsidP="004B4744">
      <w:pPr>
        <w:pStyle w:val="a4"/>
        <w:rPr>
          <w:lang w:val="ro-MD" w:eastAsia="en-US"/>
        </w:rPr>
      </w:pPr>
      <w:r w:rsidRPr="00E10381">
        <w:rPr>
          <w:noProof/>
          <w:sz w:val="24"/>
          <w:szCs w:val="24"/>
          <w:lang w:val="ru-RU" w:eastAsia="ru-RU"/>
        </w:rPr>
        <w:drawing>
          <wp:inline distT="0" distB="0" distL="0" distR="0" wp14:anchorId="7A2CA021" wp14:editId="11D0BF91">
            <wp:extent cx="6296025" cy="3343275"/>
            <wp:effectExtent l="0" t="0" r="9525" b="952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A03FF9" w14:textId="77777777" w:rsidR="004B4744" w:rsidRDefault="004B4744" w:rsidP="00347C4C">
      <w:pPr>
        <w:pStyle w:val="a7"/>
      </w:pPr>
      <w:r w:rsidRPr="00A219DB">
        <w:lastRenderedPageBreak/>
        <w:t>Cele mai multe cauze pendinte la sfîrșitul perioadei anului 2020 sunt din categoriile de cauze penale 54%, cauze civile 21%, contencios administrativ 10%. Categoriilor de cauze comerciale, cauzelor de insolvabilitate și contravenționale le revin o pondere sub 10 % din volumul cauzelor restanță la sfîrșitul perioadei de referință.</w:t>
      </w:r>
    </w:p>
    <w:p w14:paraId="1BC2F15A" w14:textId="77777777" w:rsidR="004B4744" w:rsidRPr="00E10381" w:rsidRDefault="004B4744" w:rsidP="004B4744">
      <w:pPr>
        <w:pStyle w:val="a4"/>
        <w:rPr>
          <w:lang w:val="ro-MD" w:eastAsia="en-US"/>
        </w:rPr>
      </w:pPr>
    </w:p>
    <w:p w14:paraId="20B1BE86" w14:textId="77777777" w:rsidR="004B4744" w:rsidRPr="00A219DB" w:rsidRDefault="004B4744" w:rsidP="004B4744">
      <w:pPr>
        <w:pStyle w:val="a4"/>
        <w:ind w:left="360" w:right="567"/>
        <w:jc w:val="center"/>
        <w:rPr>
          <w:rFonts w:ascii="Times New Roman" w:hAnsi="Times New Roman"/>
          <w:b/>
          <w:sz w:val="28"/>
          <w:szCs w:val="28"/>
          <w:lang w:val="ro-MD" w:eastAsia="en-US"/>
        </w:rPr>
      </w:pPr>
      <w:r w:rsidRPr="00A219DB">
        <w:rPr>
          <w:rFonts w:ascii="Times New Roman" w:hAnsi="Times New Roman"/>
          <w:b/>
          <w:sz w:val="28"/>
          <w:szCs w:val="28"/>
          <w:lang w:val="ro-MD" w:eastAsia="en-US"/>
        </w:rPr>
        <w:t>Vârsta cauzelor pendinte</w:t>
      </w:r>
    </w:p>
    <w:p w14:paraId="5DE6D054" w14:textId="77777777" w:rsidR="004B4744" w:rsidRPr="00A219DB" w:rsidRDefault="004B4744" w:rsidP="00347C4C">
      <w:pPr>
        <w:pStyle w:val="a7"/>
      </w:pPr>
      <w:r w:rsidRPr="00A219DB">
        <w:t>Cauzele înregistrate dar nesoluţionate constituie stocul de cauze pendinte al instanţei.</w:t>
      </w:r>
    </w:p>
    <w:p w14:paraId="7AD30273" w14:textId="77777777" w:rsidR="004B4744" w:rsidRPr="00A219DB" w:rsidRDefault="004B4744" w:rsidP="00347C4C">
      <w:pPr>
        <w:pStyle w:val="a7"/>
      </w:pPr>
      <w:r w:rsidRPr="00A219DB">
        <w:t>Vechimea cauzelor pendinte aflate pe rolul Curţii de Apel Cahul, măsurată ca număr de ani este reflectată în tabelul următor.</w:t>
      </w:r>
    </w:p>
    <w:p w14:paraId="0C11F11D" w14:textId="77777777" w:rsidR="004B4744" w:rsidRPr="00A219DB" w:rsidRDefault="004B4744" w:rsidP="004B4744">
      <w:pPr>
        <w:pStyle w:val="a4"/>
        <w:spacing w:after="0"/>
        <w:ind w:left="567" w:right="567"/>
        <w:rPr>
          <w:rFonts w:ascii="Times New Roman" w:hAnsi="Times New Roman"/>
          <w:i/>
          <w:sz w:val="24"/>
          <w:szCs w:val="24"/>
          <w:lang w:val="ro-MD" w:eastAsia="en-US"/>
        </w:rPr>
      </w:pPr>
    </w:p>
    <w:p w14:paraId="275B986A" w14:textId="77777777" w:rsidR="004B4744" w:rsidRPr="00E10381" w:rsidRDefault="004B4744" w:rsidP="004B4744">
      <w:pPr>
        <w:pStyle w:val="a4"/>
        <w:spacing w:after="0"/>
        <w:ind w:left="567" w:right="567"/>
        <w:rPr>
          <w:rFonts w:ascii="Times New Roman" w:hAnsi="Times New Roman"/>
          <w:b/>
          <w:bCs/>
          <w:i/>
          <w:sz w:val="24"/>
          <w:szCs w:val="24"/>
          <w:lang w:val="ro-MD" w:eastAsia="en-US"/>
        </w:rPr>
      </w:pPr>
      <w:r w:rsidRPr="00E10381">
        <w:rPr>
          <w:rFonts w:ascii="Times New Roman" w:hAnsi="Times New Roman"/>
          <w:b/>
          <w:bCs/>
          <w:i/>
          <w:sz w:val="24"/>
          <w:szCs w:val="24"/>
          <w:lang w:val="ro-MD" w:eastAsia="en-US"/>
        </w:rPr>
        <w:t>Tabelul nr.</w:t>
      </w:r>
      <w:r>
        <w:rPr>
          <w:rFonts w:ascii="Times New Roman" w:hAnsi="Times New Roman"/>
          <w:b/>
          <w:bCs/>
          <w:i/>
          <w:sz w:val="24"/>
          <w:szCs w:val="24"/>
          <w:lang w:val="ro-MD" w:eastAsia="en-US"/>
        </w:rPr>
        <w:t>9</w:t>
      </w:r>
      <w:r w:rsidRPr="00E10381">
        <w:rPr>
          <w:rFonts w:ascii="Times New Roman" w:hAnsi="Times New Roman"/>
          <w:b/>
          <w:bCs/>
          <w:i/>
          <w:sz w:val="24"/>
          <w:szCs w:val="24"/>
          <w:lang w:val="ro-MD" w:eastAsia="en-US"/>
        </w:rPr>
        <w:t>: Vârsta cauzelor pendinte la data de 31 Decembrie 2020</w:t>
      </w:r>
    </w:p>
    <w:tbl>
      <w:tblPr>
        <w:tblW w:w="9994" w:type="dxa"/>
        <w:tblInd w:w="108" w:type="dxa"/>
        <w:tblLook w:val="04A0" w:firstRow="1" w:lastRow="0" w:firstColumn="1" w:lastColumn="0" w:noHBand="0" w:noVBand="1"/>
      </w:tblPr>
      <w:tblGrid>
        <w:gridCol w:w="1995"/>
        <w:gridCol w:w="926"/>
        <w:gridCol w:w="983"/>
        <w:gridCol w:w="722"/>
        <w:gridCol w:w="926"/>
        <w:gridCol w:w="722"/>
        <w:gridCol w:w="860"/>
        <w:gridCol w:w="1201"/>
        <w:gridCol w:w="870"/>
        <w:gridCol w:w="789"/>
      </w:tblGrid>
      <w:tr w:rsidR="004B4744" w:rsidRPr="00A219DB" w14:paraId="51889411" w14:textId="77777777" w:rsidTr="004B4744">
        <w:trPr>
          <w:trHeight w:val="456"/>
        </w:trPr>
        <w:tc>
          <w:tcPr>
            <w:tcW w:w="9205" w:type="dxa"/>
            <w:gridSpan w:val="9"/>
            <w:tcBorders>
              <w:top w:val="single" w:sz="4" w:space="0" w:color="auto"/>
              <w:left w:val="single" w:sz="4" w:space="0" w:color="auto"/>
              <w:bottom w:val="single" w:sz="4" w:space="0" w:color="auto"/>
              <w:right w:val="single" w:sz="4" w:space="0" w:color="000000"/>
            </w:tcBorders>
            <w:vAlign w:val="center"/>
            <w:hideMark/>
          </w:tcPr>
          <w:p w14:paraId="7FF2DACB" w14:textId="77777777" w:rsidR="004B4744" w:rsidRPr="00A219DB" w:rsidRDefault="004B4744" w:rsidP="002D569B">
            <w:pPr>
              <w:spacing w:after="0" w:line="240" w:lineRule="auto"/>
              <w:rPr>
                <w:rFonts w:ascii="Arial" w:hAnsi="Arial" w:cs="Arial"/>
                <w:b/>
                <w:bCs/>
                <w:sz w:val="20"/>
                <w:szCs w:val="20"/>
                <w:lang w:val="ro-MD"/>
              </w:rPr>
            </w:pPr>
            <w:r w:rsidRPr="00A219DB">
              <w:rPr>
                <w:rFonts w:ascii="Arial" w:hAnsi="Arial" w:cs="Arial"/>
                <w:b/>
                <w:bCs/>
                <w:sz w:val="20"/>
                <w:szCs w:val="20"/>
                <w:lang w:val="ro-MD"/>
              </w:rPr>
              <w:t xml:space="preserve">Cauzele </w:t>
            </w:r>
            <w:r w:rsidRPr="00A219DB">
              <w:rPr>
                <w:rFonts w:ascii="Calibri" w:hAnsi="Calibri" w:cs="Calibri"/>
                <w:b/>
                <w:bCs/>
                <w:sz w:val="20"/>
                <w:szCs w:val="20"/>
                <w:lang w:val="ro-MD"/>
              </w:rPr>
              <w:t>î</w:t>
            </w:r>
            <w:r w:rsidRPr="00A219DB">
              <w:rPr>
                <w:rFonts w:ascii="Arial" w:hAnsi="Arial" w:cs="Arial"/>
                <w:b/>
                <w:bCs/>
                <w:sz w:val="20"/>
                <w:szCs w:val="20"/>
                <w:lang w:val="ro-MD"/>
              </w:rPr>
              <w:t xml:space="preserve">nregistrate dar nesoluționate constituie stocul de cauze restanță al instanței. </w:t>
            </w:r>
          </w:p>
          <w:p w14:paraId="22C0981B" w14:textId="77777777" w:rsidR="004B4744" w:rsidRPr="00A219DB" w:rsidRDefault="004B4744" w:rsidP="002D569B">
            <w:pPr>
              <w:spacing w:after="0" w:line="240" w:lineRule="auto"/>
              <w:rPr>
                <w:rFonts w:ascii="Arial" w:hAnsi="Arial" w:cs="Arial"/>
                <w:b/>
                <w:bCs/>
                <w:sz w:val="20"/>
                <w:szCs w:val="20"/>
                <w:lang w:val="ro-MD"/>
              </w:rPr>
            </w:pPr>
            <w:r w:rsidRPr="00A219DB">
              <w:rPr>
                <w:rFonts w:ascii="Arial" w:hAnsi="Arial" w:cs="Arial"/>
                <w:b/>
                <w:bCs/>
                <w:sz w:val="20"/>
                <w:szCs w:val="20"/>
                <w:lang w:val="ro-MD"/>
              </w:rPr>
              <w:t xml:space="preserve">Timpul </w:t>
            </w:r>
            <w:r w:rsidRPr="00A219DB">
              <w:rPr>
                <w:rFonts w:ascii="Calibri" w:hAnsi="Calibri" w:cs="Calibri"/>
                <w:b/>
                <w:bCs/>
                <w:sz w:val="20"/>
                <w:szCs w:val="20"/>
                <w:lang w:val="ro-MD"/>
              </w:rPr>
              <w:t>î</w:t>
            </w:r>
            <w:r w:rsidRPr="00A219DB">
              <w:rPr>
                <w:rFonts w:ascii="Arial" w:hAnsi="Arial" w:cs="Arial"/>
                <w:b/>
                <w:bCs/>
                <w:sz w:val="20"/>
                <w:szCs w:val="20"/>
                <w:lang w:val="ro-MD"/>
              </w:rPr>
              <w:t xml:space="preserve">n care cauzele restanță s-au aflat pe rol, măsurat </w:t>
            </w:r>
            <w:r w:rsidRPr="00A219DB">
              <w:rPr>
                <w:rFonts w:ascii="Calibri" w:hAnsi="Calibri" w:cs="Calibri"/>
                <w:b/>
                <w:bCs/>
                <w:sz w:val="20"/>
                <w:szCs w:val="20"/>
                <w:lang w:val="ro-MD"/>
              </w:rPr>
              <w:t>î</w:t>
            </w:r>
            <w:r w:rsidRPr="00A219DB">
              <w:rPr>
                <w:rFonts w:ascii="Arial" w:hAnsi="Arial" w:cs="Arial"/>
                <w:b/>
                <w:bCs/>
                <w:sz w:val="20"/>
                <w:szCs w:val="20"/>
                <w:lang w:val="ro-MD"/>
              </w:rPr>
              <w:t xml:space="preserve">n ani ne indică </w:t>
            </w:r>
          </w:p>
        </w:tc>
        <w:tc>
          <w:tcPr>
            <w:tcW w:w="789" w:type="dxa"/>
            <w:vMerge w:val="restart"/>
            <w:tcBorders>
              <w:top w:val="single" w:sz="4" w:space="0" w:color="auto"/>
              <w:left w:val="single" w:sz="4" w:space="0" w:color="auto"/>
              <w:bottom w:val="nil"/>
              <w:right w:val="single" w:sz="4" w:space="0" w:color="auto"/>
            </w:tcBorders>
            <w:noWrap/>
            <w:textDirection w:val="tbRl"/>
            <w:vAlign w:val="bottom"/>
            <w:hideMark/>
          </w:tcPr>
          <w:p w14:paraId="51980F1C"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Grand total</w:t>
            </w:r>
          </w:p>
        </w:tc>
      </w:tr>
      <w:tr w:rsidR="004B4744" w:rsidRPr="00A219DB" w14:paraId="4095AED9" w14:textId="77777777" w:rsidTr="004B4744">
        <w:trPr>
          <w:trHeight w:val="1135"/>
        </w:trPr>
        <w:tc>
          <w:tcPr>
            <w:tcW w:w="1995" w:type="dxa"/>
            <w:tcBorders>
              <w:top w:val="nil"/>
              <w:left w:val="single" w:sz="4" w:space="0" w:color="auto"/>
              <w:bottom w:val="single" w:sz="4" w:space="0" w:color="auto"/>
              <w:right w:val="single" w:sz="4" w:space="0" w:color="auto"/>
            </w:tcBorders>
            <w:vAlign w:val="center"/>
            <w:hideMark/>
          </w:tcPr>
          <w:p w14:paraId="7FA5236B"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Tipul de cauze</w:t>
            </w:r>
          </w:p>
        </w:tc>
        <w:tc>
          <w:tcPr>
            <w:tcW w:w="926" w:type="dxa"/>
            <w:tcBorders>
              <w:top w:val="nil"/>
              <w:left w:val="nil"/>
              <w:bottom w:val="single" w:sz="4" w:space="0" w:color="auto"/>
              <w:right w:val="single" w:sz="4" w:space="0" w:color="auto"/>
            </w:tcBorders>
            <w:vAlign w:val="center"/>
            <w:hideMark/>
          </w:tcPr>
          <w:p w14:paraId="7D4CB881"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Mai puțin de 1 an</w:t>
            </w:r>
          </w:p>
        </w:tc>
        <w:tc>
          <w:tcPr>
            <w:tcW w:w="983" w:type="dxa"/>
            <w:tcBorders>
              <w:top w:val="nil"/>
              <w:left w:val="nil"/>
              <w:bottom w:val="single" w:sz="4" w:space="0" w:color="auto"/>
              <w:right w:val="single" w:sz="4" w:space="0" w:color="auto"/>
            </w:tcBorders>
            <w:vAlign w:val="center"/>
            <w:hideMark/>
          </w:tcPr>
          <w:p w14:paraId="034F17CA"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 din total</w:t>
            </w:r>
          </w:p>
        </w:tc>
        <w:tc>
          <w:tcPr>
            <w:tcW w:w="722" w:type="dxa"/>
            <w:tcBorders>
              <w:top w:val="nil"/>
              <w:left w:val="nil"/>
              <w:bottom w:val="single" w:sz="4" w:space="0" w:color="auto"/>
              <w:right w:val="single" w:sz="4" w:space="0" w:color="auto"/>
            </w:tcBorders>
            <w:vAlign w:val="center"/>
            <w:hideMark/>
          </w:tcPr>
          <w:p w14:paraId="0C505BA8"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Între 1 și 2 ani</w:t>
            </w:r>
          </w:p>
        </w:tc>
        <w:tc>
          <w:tcPr>
            <w:tcW w:w="926" w:type="dxa"/>
            <w:tcBorders>
              <w:top w:val="nil"/>
              <w:left w:val="nil"/>
              <w:bottom w:val="single" w:sz="4" w:space="0" w:color="auto"/>
              <w:right w:val="single" w:sz="4" w:space="0" w:color="auto"/>
            </w:tcBorders>
            <w:vAlign w:val="center"/>
            <w:hideMark/>
          </w:tcPr>
          <w:p w14:paraId="01D8E326"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 din total</w:t>
            </w:r>
          </w:p>
        </w:tc>
        <w:tc>
          <w:tcPr>
            <w:tcW w:w="722" w:type="dxa"/>
            <w:tcBorders>
              <w:top w:val="nil"/>
              <w:left w:val="nil"/>
              <w:bottom w:val="single" w:sz="4" w:space="0" w:color="auto"/>
              <w:right w:val="single" w:sz="4" w:space="0" w:color="auto"/>
            </w:tcBorders>
            <w:vAlign w:val="center"/>
            <w:hideMark/>
          </w:tcPr>
          <w:p w14:paraId="788EEC3A"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Între 2 și 5 ani</w:t>
            </w:r>
          </w:p>
        </w:tc>
        <w:tc>
          <w:tcPr>
            <w:tcW w:w="860" w:type="dxa"/>
            <w:tcBorders>
              <w:top w:val="nil"/>
              <w:left w:val="nil"/>
              <w:bottom w:val="single" w:sz="4" w:space="0" w:color="auto"/>
              <w:right w:val="single" w:sz="4" w:space="0" w:color="auto"/>
            </w:tcBorders>
            <w:vAlign w:val="center"/>
            <w:hideMark/>
          </w:tcPr>
          <w:p w14:paraId="1E09704D"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 din total</w:t>
            </w:r>
          </w:p>
        </w:tc>
        <w:tc>
          <w:tcPr>
            <w:tcW w:w="1201" w:type="dxa"/>
            <w:tcBorders>
              <w:top w:val="nil"/>
              <w:left w:val="nil"/>
              <w:bottom w:val="single" w:sz="4" w:space="0" w:color="auto"/>
              <w:right w:val="single" w:sz="4" w:space="0" w:color="auto"/>
            </w:tcBorders>
            <w:vAlign w:val="center"/>
            <w:hideMark/>
          </w:tcPr>
          <w:p w14:paraId="6B260DF7"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Mai mult de 5 ani</w:t>
            </w:r>
          </w:p>
        </w:tc>
        <w:tc>
          <w:tcPr>
            <w:tcW w:w="866" w:type="dxa"/>
            <w:tcBorders>
              <w:top w:val="nil"/>
              <w:left w:val="nil"/>
              <w:bottom w:val="single" w:sz="4" w:space="0" w:color="auto"/>
              <w:right w:val="single" w:sz="4" w:space="0" w:color="auto"/>
            </w:tcBorders>
            <w:vAlign w:val="center"/>
            <w:hideMark/>
          </w:tcPr>
          <w:p w14:paraId="2DF2AE53"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 din total</w:t>
            </w:r>
          </w:p>
        </w:tc>
        <w:tc>
          <w:tcPr>
            <w:tcW w:w="789" w:type="dxa"/>
            <w:vMerge/>
            <w:tcBorders>
              <w:top w:val="single" w:sz="4" w:space="0" w:color="auto"/>
              <w:left w:val="single" w:sz="4" w:space="0" w:color="auto"/>
              <w:bottom w:val="nil"/>
              <w:right w:val="single" w:sz="4" w:space="0" w:color="auto"/>
            </w:tcBorders>
            <w:vAlign w:val="center"/>
            <w:hideMark/>
          </w:tcPr>
          <w:p w14:paraId="521667B7" w14:textId="77777777" w:rsidR="004B4744" w:rsidRPr="00A219DB" w:rsidRDefault="004B4744" w:rsidP="002D569B">
            <w:pPr>
              <w:spacing w:after="0" w:line="240" w:lineRule="auto"/>
              <w:rPr>
                <w:rFonts w:ascii="Arial" w:hAnsi="Arial" w:cs="Arial"/>
                <w:b/>
                <w:bCs/>
                <w:sz w:val="20"/>
                <w:szCs w:val="20"/>
                <w:lang w:val="ro-MD"/>
              </w:rPr>
            </w:pPr>
          </w:p>
        </w:tc>
      </w:tr>
      <w:tr w:rsidR="004B4744" w:rsidRPr="00A219DB" w14:paraId="71328283" w14:textId="77777777" w:rsidTr="004B4744">
        <w:trPr>
          <w:trHeight w:val="706"/>
        </w:trPr>
        <w:tc>
          <w:tcPr>
            <w:tcW w:w="1995" w:type="dxa"/>
            <w:tcBorders>
              <w:top w:val="nil"/>
              <w:left w:val="single" w:sz="4" w:space="0" w:color="auto"/>
              <w:bottom w:val="single" w:sz="4" w:space="0" w:color="auto"/>
              <w:right w:val="single" w:sz="4" w:space="0" w:color="auto"/>
            </w:tcBorders>
            <w:vAlign w:val="center"/>
            <w:hideMark/>
          </w:tcPr>
          <w:p w14:paraId="49618CBA" w14:textId="77777777" w:rsidR="004B4744" w:rsidRPr="00A219DB" w:rsidRDefault="004B4744" w:rsidP="002D569B">
            <w:pPr>
              <w:spacing w:after="0" w:line="240" w:lineRule="auto"/>
              <w:rPr>
                <w:rFonts w:ascii="Arial" w:hAnsi="Arial" w:cs="Arial"/>
                <w:b/>
                <w:bCs/>
                <w:sz w:val="20"/>
                <w:szCs w:val="20"/>
                <w:lang w:val="ro-MD"/>
              </w:rPr>
            </w:pPr>
            <w:r w:rsidRPr="00A219DB">
              <w:rPr>
                <w:rFonts w:ascii="Arial" w:hAnsi="Arial" w:cs="Arial"/>
                <w:b/>
                <w:bCs/>
                <w:sz w:val="20"/>
                <w:szCs w:val="20"/>
                <w:lang w:val="ro-MD"/>
              </w:rPr>
              <w:t xml:space="preserve">1. Total Cauze civile </w:t>
            </w:r>
          </w:p>
        </w:tc>
        <w:tc>
          <w:tcPr>
            <w:tcW w:w="926"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E60A9DD"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54</w:t>
            </w:r>
          </w:p>
        </w:tc>
        <w:tc>
          <w:tcPr>
            <w:tcW w:w="983" w:type="dxa"/>
            <w:tcBorders>
              <w:top w:val="single" w:sz="4" w:space="0" w:color="auto"/>
              <w:left w:val="single" w:sz="4" w:space="0" w:color="auto"/>
              <w:bottom w:val="single" w:sz="4" w:space="0" w:color="auto"/>
              <w:right w:val="single" w:sz="4" w:space="0" w:color="auto"/>
            </w:tcBorders>
            <w:shd w:val="clear" w:color="000000" w:fill="FEC77D"/>
            <w:vAlign w:val="center"/>
            <w:hideMark/>
          </w:tcPr>
          <w:p w14:paraId="1D616B83"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20,38%</w:t>
            </w:r>
          </w:p>
        </w:tc>
        <w:tc>
          <w:tcPr>
            <w:tcW w:w="722"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D664D77"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1</w:t>
            </w:r>
          </w:p>
        </w:tc>
        <w:tc>
          <w:tcPr>
            <w:tcW w:w="926" w:type="dxa"/>
            <w:tcBorders>
              <w:top w:val="single" w:sz="4" w:space="0" w:color="auto"/>
              <w:left w:val="single" w:sz="4" w:space="0" w:color="auto"/>
              <w:bottom w:val="single" w:sz="4" w:space="0" w:color="auto"/>
              <w:right w:val="single" w:sz="4" w:space="0" w:color="auto"/>
            </w:tcBorders>
            <w:shd w:val="clear" w:color="000000" w:fill="FFEB84"/>
            <w:vAlign w:val="center"/>
            <w:hideMark/>
          </w:tcPr>
          <w:p w14:paraId="18B6B602"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0,38%</w:t>
            </w:r>
          </w:p>
        </w:tc>
        <w:tc>
          <w:tcPr>
            <w:tcW w:w="722"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4713428"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75EABCAB"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1201" w:type="dxa"/>
            <w:tcBorders>
              <w:top w:val="nil"/>
              <w:left w:val="nil"/>
              <w:bottom w:val="single" w:sz="4" w:space="0" w:color="auto"/>
              <w:right w:val="single" w:sz="4" w:space="0" w:color="auto"/>
            </w:tcBorders>
            <w:shd w:val="clear" w:color="000000" w:fill="FDE9D9"/>
            <w:vAlign w:val="center"/>
            <w:hideMark/>
          </w:tcPr>
          <w:p w14:paraId="4954D9AB"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6"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572F3E2D"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789" w:type="dxa"/>
            <w:vMerge/>
            <w:tcBorders>
              <w:top w:val="single" w:sz="4" w:space="0" w:color="auto"/>
              <w:left w:val="single" w:sz="4" w:space="0" w:color="auto"/>
              <w:bottom w:val="nil"/>
              <w:right w:val="single" w:sz="4" w:space="0" w:color="auto"/>
            </w:tcBorders>
            <w:vAlign w:val="center"/>
            <w:hideMark/>
          </w:tcPr>
          <w:p w14:paraId="4A712202" w14:textId="77777777" w:rsidR="004B4744" w:rsidRPr="00A219DB" w:rsidRDefault="004B4744" w:rsidP="002D569B">
            <w:pPr>
              <w:spacing w:after="0" w:line="240" w:lineRule="auto"/>
              <w:rPr>
                <w:rFonts w:ascii="Arial" w:hAnsi="Arial" w:cs="Arial"/>
                <w:b/>
                <w:bCs/>
                <w:sz w:val="20"/>
                <w:szCs w:val="20"/>
                <w:lang w:val="ro-MD"/>
              </w:rPr>
            </w:pPr>
          </w:p>
        </w:tc>
      </w:tr>
      <w:tr w:rsidR="004B4744" w:rsidRPr="00A219DB" w14:paraId="3A205D9F" w14:textId="77777777" w:rsidTr="004B4744">
        <w:trPr>
          <w:trHeight w:val="760"/>
        </w:trPr>
        <w:tc>
          <w:tcPr>
            <w:tcW w:w="1995" w:type="dxa"/>
            <w:tcBorders>
              <w:top w:val="nil"/>
              <w:left w:val="single" w:sz="4" w:space="0" w:color="auto"/>
              <w:bottom w:val="single" w:sz="4" w:space="0" w:color="auto"/>
              <w:right w:val="single" w:sz="4" w:space="0" w:color="auto"/>
            </w:tcBorders>
            <w:shd w:val="clear" w:color="000000" w:fill="FFFFFF"/>
            <w:vAlign w:val="center"/>
            <w:hideMark/>
          </w:tcPr>
          <w:p w14:paraId="39C5C8FC" w14:textId="77777777" w:rsidR="004B4744" w:rsidRPr="00A219DB" w:rsidRDefault="004B4744" w:rsidP="002D569B">
            <w:pPr>
              <w:spacing w:after="0" w:line="240" w:lineRule="auto"/>
              <w:rPr>
                <w:rFonts w:ascii="Arial" w:hAnsi="Arial" w:cs="Arial"/>
                <w:b/>
                <w:bCs/>
                <w:sz w:val="20"/>
                <w:szCs w:val="20"/>
                <w:lang w:val="ro-MD"/>
              </w:rPr>
            </w:pPr>
            <w:r w:rsidRPr="00A219DB">
              <w:rPr>
                <w:rFonts w:ascii="Arial" w:hAnsi="Arial" w:cs="Arial"/>
                <w:b/>
                <w:bCs/>
                <w:sz w:val="20"/>
                <w:szCs w:val="20"/>
                <w:lang w:val="ro-MD"/>
              </w:rPr>
              <w:t xml:space="preserve">2. Total cauze comerciale </w:t>
            </w:r>
          </w:p>
        </w:tc>
        <w:tc>
          <w:tcPr>
            <w:tcW w:w="926" w:type="dxa"/>
            <w:tcBorders>
              <w:top w:val="nil"/>
              <w:left w:val="single" w:sz="4" w:space="0" w:color="auto"/>
              <w:bottom w:val="single" w:sz="4" w:space="0" w:color="auto"/>
              <w:right w:val="single" w:sz="4" w:space="0" w:color="auto"/>
            </w:tcBorders>
            <w:shd w:val="clear" w:color="000000" w:fill="FDE9D9"/>
            <w:vAlign w:val="center"/>
            <w:hideMark/>
          </w:tcPr>
          <w:p w14:paraId="73BC4CE0"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9</w:t>
            </w:r>
          </w:p>
        </w:tc>
        <w:tc>
          <w:tcPr>
            <w:tcW w:w="983" w:type="dxa"/>
            <w:tcBorders>
              <w:top w:val="single" w:sz="4" w:space="0" w:color="auto"/>
              <w:left w:val="single" w:sz="4" w:space="0" w:color="auto"/>
              <w:bottom w:val="single" w:sz="4" w:space="0" w:color="auto"/>
              <w:right w:val="single" w:sz="4" w:space="0" w:color="auto"/>
            </w:tcBorders>
            <w:shd w:val="clear" w:color="000000" w:fill="8BC97D"/>
            <w:vAlign w:val="center"/>
            <w:hideMark/>
          </w:tcPr>
          <w:p w14:paraId="19DE2BB5"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3,40%</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7B3F7BD1"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1</w:t>
            </w:r>
          </w:p>
        </w:tc>
        <w:tc>
          <w:tcPr>
            <w:tcW w:w="926" w:type="dxa"/>
            <w:tcBorders>
              <w:top w:val="single" w:sz="4" w:space="0" w:color="auto"/>
              <w:left w:val="single" w:sz="4" w:space="0" w:color="auto"/>
              <w:bottom w:val="single" w:sz="4" w:space="0" w:color="auto"/>
              <w:right w:val="single" w:sz="4" w:space="0" w:color="auto"/>
            </w:tcBorders>
            <w:shd w:val="clear" w:color="000000" w:fill="FFEB84"/>
            <w:vAlign w:val="center"/>
            <w:hideMark/>
          </w:tcPr>
          <w:p w14:paraId="4D7E028D"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0,38%</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7634BE5A"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2</w:t>
            </w:r>
          </w:p>
        </w:tc>
        <w:tc>
          <w:tcPr>
            <w:tcW w:w="860" w:type="dxa"/>
            <w:tcBorders>
              <w:top w:val="single" w:sz="4" w:space="0" w:color="auto"/>
              <w:left w:val="single" w:sz="4" w:space="0" w:color="auto"/>
              <w:bottom w:val="single" w:sz="4" w:space="0" w:color="auto"/>
              <w:right w:val="single" w:sz="4" w:space="0" w:color="auto"/>
            </w:tcBorders>
            <w:shd w:val="clear" w:color="000000" w:fill="FB9574"/>
            <w:vAlign w:val="center"/>
            <w:hideMark/>
          </w:tcPr>
          <w:p w14:paraId="60776872"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0,75%</w:t>
            </w:r>
          </w:p>
        </w:tc>
        <w:tc>
          <w:tcPr>
            <w:tcW w:w="1201" w:type="dxa"/>
            <w:tcBorders>
              <w:top w:val="nil"/>
              <w:left w:val="nil"/>
              <w:bottom w:val="single" w:sz="4" w:space="0" w:color="auto"/>
              <w:right w:val="single" w:sz="4" w:space="0" w:color="auto"/>
            </w:tcBorders>
            <w:shd w:val="clear" w:color="000000" w:fill="FDE9D9"/>
            <w:vAlign w:val="center"/>
            <w:hideMark/>
          </w:tcPr>
          <w:p w14:paraId="5FEED107"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6"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67D5DDCB"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789" w:type="dxa"/>
            <w:vMerge/>
            <w:tcBorders>
              <w:top w:val="single" w:sz="4" w:space="0" w:color="auto"/>
              <w:left w:val="single" w:sz="4" w:space="0" w:color="auto"/>
              <w:bottom w:val="nil"/>
              <w:right w:val="single" w:sz="4" w:space="0" w:color="auto"/>
            </w:tcBorders>
            <w:vAlign w:val="center"/>
            <w:hideMark/>
          </w:tcPr>
          <w:p w14:paraId="12AAB64D" w14:textId="77777777" w:rsidR="004B4744" w:rsidRPr="00A219DB" w:rsidRDefault="004B4744" w:rsidP="002D569B">
            <w:pPr>
              <w:spacing w:after="0" w:line="240" w:lineRule="auto"/>
              <w:rPr>
                <w:rFonts w:ascii="Arial" w:hAnsi="Arial" w:cs="Arial"/>
                <w:b/>
                <w:bCs/>
                <w:sz w:val="20"/>
                <w:szCs w:val="20"/>
                <w:lang w:val="ro-MD"/>
              </w:rPr>
            </w:pPr>
          </w:p>
        </w:tc>
      </w:tr>
      <w:tr w:rsidR="004B4744" w:rsidRPr="00A219DB" w14:paraId="418B88E9" w14:textId="77777777" w:rsidTr="004B4744">
        <w:trPr>
          <w:trHeight w:val="787"/>
        </w:trPr>
        <w:tc>
          <w:tcPr>
            <w:tcW w:w="1995" w:type="dxa"/>
            <w:tcBorders>
              <w:top w:val="nil"/>
              <w:left w:val="single" w:sz="4" w:space="0" w:color="auto"/>
              <w:bottom w:val="single" w:sz="4" w:space="0" w:color="auto"/>
              <w:right w:val="single" w:sz="4" w:space="0" w:color="auto"/>
            </w:tcBorders>
            <w:vAlign w:val="center"/>
            <w:hideMark/>
          </w:tcPr>
          <w:p w14:paraId="06B478B4" w14:textId="77777777" w:rsidR="004B4744" w:rsidRPr="00A219DB" w:rsidRDefault="004B4744" w:rsidP="002D569B">
            <w:pPr>
              <w:spacing w:after="0" w:line="240" w:lineRule="auto"/>
              <w:rPr>
                <w:rFonts w:ascii="Arial" w:hAnsi="Arial" w:cs="Arial"/>
                <w:b/>
                <w:bCs/>
                <w:sz w:val="20"/>
                <w:szCs w:val="20"/>
                <w:lang w:val="ro-MD"/>
              </w:rPr>
            </w:pPr>
            <w:r w:rsidRPr="00A219DB">
              <w:rPr>
                <w:rFonts w:ascii="Arial" w:hAnsi="Arial" w:cs="Arial"/>
                <w:b/>
                <w:bCs/>
                <w:sz w:val="20"/>
                <w:szCs w:val="20"/>
                <w:lang w:val="ro-MD"/>
              </w:rPr>
              <w:t>3. Total cauze insolvabilitate</w:t>
            </w:r>
          </w:p>
        </w:tc>
        <w:tc>
          <w:tcPr>
            <w:tcW w:w="926" w:type="dxa"/>
            <w:tcBorders>
              <w:top w:val="nil"/>
              <w:left w:val="single" w:sz="4" w:space="0" w:color="auto"/>
              <w:bottom w:val="single" w:sz="4" w:space="0" w:color="auto"/>
              <w:right w:val="single" w:sz="4" w:space="0" w:color="auto"/>
            </w:tcBorders>
            <w:shd w:val="clear" w:color="000000" w:fill="FDE9D9"/>
            <w:vAlign w:val="center"/>
            <w:hideMark/>
          </w:tcPr>
          <w:p w14:paraId="54873FFF"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4</w:t>
            </w:r>
          </w:p>
        </w:tc>
        <w:tc>
          <w:tcPr>
            <w:tcW w:w="983"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63AEF2B9"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1,51%</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49A2A249"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926"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7F38A6C1"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3B622AF5"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4016C1C2"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1201" w:type="dxa"/>
            <w:tcBorders>
              <w:top w:val="nil"/>
              <w:left w:val="nil"/>
              <w:bottom w:val="single" w:sz="4" w:space="0" w:color="auto"/>
              <w:right w:val="single" w:sz="4" w:space="0" w:color="auto"/>
            </w:tcBorders>
            <w:shd w:val="clear" w:color="000000" w:fill="FDE9D9"/>
            <w:vAlign w:val="center"/>
            <w:hideMark/>
          </w:tcPr>
          <w:p w14:paraId="441417A1"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6"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51DB4165"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789" w:type="dxa"/>
            <w:vMerge/>
            <w:tcBorders>
              <w:top w:val="single" w:sz="4" w:space="0" w:color="auto"/>
              <w:left w:val="single" w:sz="4" w:space="0" w:color="auto"/>
              <w:bottom w:val="nil"/>
              <w:right w:val="single" w:sz="4" w:space="0" w:color="auto"/>
            </w:tcBorders>
            <w:vAlign w:val="center"/>
            <w:hideMark/>
          </w:tcPr>
          <w:p w14:paraId="6368AB96" w14:textId="77777777" w:rsidR="004B4744" w:rsidRPr="00A219DB" w:rsidRDefault="004B4744" w:rsidP="002D569B">
            <w:pPr>
              <w:spacing w:after="0" w:line="240" w:lineRule="auto"/>
              <w:rPr>
                <w:rFonts w:ascii="Arial" w:hAnsi="Arial" w:cs="Arial"/>
                <w:b/>
                <w:bCs/>
                <w:sz w:val="20"/>
                <w:szCs w:val="20"/>
                <w:lang w:val="ro-MD"/>
              </w:rPr>
            </w:pPr>
          </w:p>
        </w:tc>
      </w:tr>
      <w:tr w:rsidR="004B4744" w:rsidRPr="00A219DB" w14:paraId="11A062E7" w14:textId="77777777" w:rsidTr="004B4744">
        <w:trPr>
          <w:trHeight w:val="896"/>
        </w:trPr>
        <w:tc>
          <w:tcPr>
            <w:tcW w:w="1995" w:type="dxa"/>
            <w:tcBorders>
              <w:top w:val="nil"/>
              <w:left w:val="single" w:sz="4" w:space="0" w:color="auto"/>
              <w:bottom w:val="single" w:sz="4" w:space="0" w:color="auto"/>
              <w:right w:val="single" w:sz="4" w:space="0" w:color="auto"/>
            </w:tcBorders>
            <w:vAlign w:val="center"/>
            <w:hideMark/>
          </w:tcPr>
          <w:p w14:paraId="2110304F" w14:textId="77777777" w:rsidR="004B4744" w:rsidRPr="00A219DB" w:rsidRDefault="004B4744" w:rsidP="002D569B">
            <w:pPr>
              <w:spacing w:after="0" w:line="240" w:lineRule="auto"/>
              <w:rPr>
                <w:rFonts w:ascii="Arial" w:hAnsi="Arial" w:cs="Arial"/>
                <w:b/>
                <w:bCs/>
                <w:sz w:val="20"/>
                <w:szCs w:val="20"/>
                <w:lang w:val="ro-MD"/>
              </w:rPr>
            </w:pPr>
            <w:r w:rsidRPr="00A219DB">
              <w:rPr>
                <w:rFonts w:ascii="Arial" w:hAnsi="Arial" w:cs="Arial"/>
                <w:b/>
                <w:bCs/>
                <w:sz w:val="20"/>
                <w:szCs w:val="20"/>
                <w:lang w:val="ro-MD"/>
              </w:rPr>
              <w:t>4. Total Cauze de contencios administrativ</w:t>
            </w:r>
          </w:p>
        </w:tc>
        <w:tc>
          <w:tcPr>
            <w:tcW w:w="926" w:type="dxa"/>
            <w:tcBorders>
              <w:top w:val="nil"/>
              <w:left w:val="single" w:sz="4" w:space="0" w:color="auto"/>
              <w:bottom w:val="single" w:sz="4" w:space="0" w:color="auto"/>
              <w:right w:val="single" w:sz="4" w:space="0" w:color="auto"/>
            </w:tcBorders>
            <w:shd w:val="clear" w:color="000000" w:fill="FDE9D9"/>
            <w:vAlign w:val="center"/>
            <w:hideMark/>
          </w:tcPr>
          <w:p w14:paraId="0519FC21"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24</w:t>
            </w:r>
          </w:p>
        </w:tc>
        <w:tc>
          <w:tcPr>
            <w:tcW w:w="983" w:type="dxa"/>
            <w:tcBorders>
              <w:top w:val="single" w:sz="4" w:space="0" w:color="auto"/>
              <w:left w:val="single" w:sz="4" w:space="0" w:color="auto"/>
              <w:bottom w:val="single" w:sz="4" w:space="0" w:color="auto"/>
              <w:right w:val="single" w:sz="4" w:space="0" w:color="auto"/>
            </w:tcBorders>
            <w:shd w:val="clear" w:color="000000" w:fill="FFEB84"/>
            <w:vAlign w:val="center"/>
            <w:hideMark/>
          </w:tcPr>
          <w:p w14:paraId="50EA1EA8"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9,06%</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40A6F45D"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3</w:t>
            </w:r>
          </w:p>
        </w:tc>
        <w:tc>
          <w:tcPr>
            <w:tcW w:w="926" w:type="dxa"/>
            <w:tcBorders>
              <w:top w:val="single" w:sz="4" w:space="0" w:color="auto"/>
              <w:left w:val="single" w:sz="4" w:space="0" w:color="auto"/>
              <w:bottom w:val="single" w:sz="4" w:space="0" w:color="auto"/>
              <w:right w:val="single" w:sz="4" w:space="0" w:color="auto"/>
            </w:tcBorders>
            <w:shd w:val="clear" w:color="000000" w:fill="FECB7E"/>
            <w:vAlign w:val="center"/>
            <w:hideMark/>
          </w:tcPr>
          <w:p w14:paraId="5FF96BC0"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1,13%</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7EA78807"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7C1A683B"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1201" w:type="dxa"/>
            <w:tcBorders>
              <w:top w:val="nil"/>
              <w:left w:val="nil"/>
              <w:bottom w:val="single" w:sz="4" w:space="0" w:color="auto"/>
              <w:right w:val="single" w:sz="4" w:space="0" w:color="auto"/>
            </w:tcBorders>
            <w:shd w:val="clear" w:color="000000" w:fill="FDE9D9"/>
            <w:vAlign w:val="center"/>
            <w:hideMark/>
          </w:tcPr>
          <w:p w14:paraId="1C1D8AA9"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6"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345D262D"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789" w:type="dxa"/>
            <w:vMerge/>
            <w:tcBorders>
              <w:top w:val="single" w:sz="4" w:space="0" w:color="auto"/>
              <w:left w:val="single" w:sz="4" w:space="0" w:color="auto"/>
              <w:bottom w:val="nil"/>
              <w:right w:val="single" w:sz="4" w:space="0" w:color="auto"/>
            </w:tcBorders>
            <w:vAlign w:val="center"/>
            <w:hideMark/>
          </w:tcPr>
          <w:p w14:paraId="748E4956" w14:textId="77777777" w:rsidR="004B4744" w:rsidRPr="00A219DB" w:rsidRDefault="004B4744" w:rsidP="002D569B">
            <w:pPr>
              <w:spacing w:after="0" w:line="240" w:lineRule="auto"/>
              <w:rPr>
                <w:rFonts w:ascii="Arial" w:hAnsi="Arial" w:cs="Arial"/>
                <w:b/>
                <w:bCs/>
                <w:sz w:val="20"/>
                <w:szCs w:val="20"/>
                <w:lang w:val="ro-MD"/>
              </w:rPr>
            </w:pPr>
          </w:p>
        </w:tc>
      </w:tr>
      <w:tr w:rsidR="004B4744" w:rsidRPr="00A219DB" w14:paraId="474E995B" w14:textId="77777777" w:rsidTr="004B4744">
        <w:trPr>
          <w:trHeight w:val="745"/>
        </w:trPr>
        <w:tc>
          <w:tcPr>
            <w:tcW w:w="1995" w:type="dxa"/>
            <w:tcBorders>
              <w:top w:val="nil"/>
              <w:left w:val="single" w:sz="4" w:space="0" w:color="auto"/>
              <w:bottom w:val="single" w:sz="4" w:space="0" w:color="auto"/>
              <w:right w:val="single" w:sz="4" w:space="0" w:color="auto"/>
            </w:tcBorders>
            <w:vAlign w:val="center"/>
            <w:hideMark/>
          </w:tcPr>
          <w:p w14:paraId="50FEF8BB" w14:textId="77777777" w:rsidR="004B4744" w:rsidRPr="00A219DB" w:rsidRDefault="004B4744" w:rsidP="002D569B">
            <w:pPr>
              <w:spacing w:after="0" w:line="240" w:lineRule="auto"/>
              <w:rPr>
                <w:rFonts w:ascii="Arial" w:hAnsi="Arial" w:cs="Arial"/>
                <w:b/>
                <w:bCs/>
                <w:sz w:val="20"/>
                <w:szCs w:val="20"/>
                <w:lang w:val="ro-MD"/>
              </w:rPr>
            </w:pPr>
            <w:r w:rsidRPr="00A219DB">
              <w:rPr>
                <w:rFonts w:ascii="Arial" w:hAnsi="Arial" w:cs="Arial"/>
                <w:b/>
                <w:bCs/>
                <w:sz w:val="20"/>
                <w:szCs w:val="20"/>
                <w:lang w:val="ro-MD"/>
              </w:rPr>
              <w:t>5. Total cauze penale</w:t>
            </w:r>
          </w:p>
        </w:tc>
        <w:tc>
          <w:tcPr>
            <w:tcW w:w="926" w:type="dxa"/>
            <w:tcBorders>
              <w:top w:val="nil"/>
              <w:left w:val="single" w:sz="4" w:space="0" w:color="auto"/>
              <w:bottom w:val="single" w:sz="4" w:space="0" w:color="auto"/>
              <w:right w:val="single" w:sz="4" w:space="0" w:color="auto"/>
            </w:tcBorders>
            <w:shd w:val="clear" w:color="000000" w:fill="FDE9D9"/>
            <w:vAlign w:val="center"/>
            <w:hideMark/>
          </w:tcPr>
          <w:p w14:paraId="6098FC57"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132</w:t>
            </w:r>
          </w:p>
        </w:tc>
        <w:tc>
          <w:tcPr>
            <w:tcW w:w="983"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681590B6"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49,81%</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1E5D80AB"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9</w:t>
            </w:r>
          </w:p>
        </w:tc>
        <w:tc>
          <w:tcPr>
            <w:tcW w:w="926"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041DDED7"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3,40%</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08FA92DC"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3</w:t>
            </w:r>
          </w:p>
        </w:tc>
        <w:tc>
          <w:tcPr>
            <w:tcW w:w="860"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0FE0B09B"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1,13%</w:t>
            </w:r>
          </w:p>
        </w:tc>
        <w:tc>
          <w:tcPr>
            <w:tcW w:w="1201" w:type="dxa"/>
            <w:tcBorders>
              <w:top w:val="nil"/>
              <w:left w:val="nil"/>
              <w:bottom w:val="single" w:sz="4" w:space="0" w:color="auto"/>
              <w:right w:val="single" w:sz="4" w:space="0" w:color="auto"/>
            </w:tcBorders>
            <w:shd w:val="clear" w:color="000000" w:fill="FDE9D9"/>
            <w:vAlign w:val="center"/>
            <w:hideMark/>
          </w:tcPr>
          <w:p w14:paraId="39E3E401"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6"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76AECEF4"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789" w:type="dxa"/>
            <w:vMerge/>
            <w:tcBorders>
              <w:top w:val="single" w:sz="4" w:space="0" w:color="auto"/>
              <w:left w:val="single" w:sz="4" w:space="0" w:color="auto"/>
              <w:bottom w:val="nil"/>
              <w:right w:val="single" w:sz="4" w:space="0" w:color="auto"/>
            </w:tcBorders>
            <w:vAlign w:val="center"/>
            <w:hideMark/>
          </w:tcPr>
          <w:p w14:paraId="2B46699E" w14:textId="77777777" w:rsidR="004B4744" w:rsidRPr="00A219DB" w:rsidRDefault="004B4744" w:rsidP="002D569B">
            <w:pPr>
              <w:spacing w:after="0" w:line="240" w:lineRule="auto"/>
              <w:rPr>
                <w:rFonts w:ascii="Arial" w:hAnsi="Arial" w:cs="Arial"/>
                <w:b/>
                <w:bCs/>
                <w:sz w:val="20"/>
                <w:szCs w:val="20"/>
                <w:lang w:val="ro-MD"/>
              </w:rPr>
            </w:pPr>
          </w:p>
        </w:tc>
      </w:tr>
      <w:tr w:rsidR="004B4744" w:rsidRPr="00A219DB" w14:paraId="5863D48C" w14:textId="77777777" w:rsidTr="004B4744">
        <w:trPr>
          <w:trHeight w:val="662"/>
        </w:trPr>
        <w:tc>
          <w:tcPr>
            <w:tcW w:w="1995" w:type="dxa"/>
            <w:tcBorders>
              <w:top w:val="nil"/>
              <w:left w:val="single" w:sz="4" w:space="0" w:color="auto"/>
              <w:bottom w:val="single" w:sz="4" w:space="0" w:color="auto"/>
              <w:right w:val="single" w:sz="4" w:space="0" w:color="auto"/>
            </w:tcBorders>
            <w:vAlign w:val="center"/>
            <w:hideMark/>
          </w:tcPr>
          <w:p w14:paraId="2D5E126C" w14:textId="77777777" w:rsidR="004B4744" w:rsidRPr="00A219DB" w:rsidRDefault="004B4744" w:rsidP="002D569B">
            <w:pPr>
              <w:spacing w:after="0" w:line="240" w:lineRule="auto"/>
              <w:rPr>
                <w:rFonts w:ascii="Arial" w:hAnsi="Arial" w:cs="Arial"/>
                <w:b/>
                <w:bCs/>
                <w:sz w:val="20"/>
                <w:szCs w:val="20"/>
                <w:lang w:val="ro-MD"/>
              </w:rPr>
            </w:pPr>
            <w:r w:rsidRPr="00A219DB">
              <w:rPr>
                <w:rFonts w:ascii="Arial" w:hAnsi="Arial" w:cs="Arial"/>
                <w:b/>
                <w:bCs/>
                <w:sz w:val="20"/>
                <w:szCs w:val="20"/>
                <w:lang w:val="ro-MD"/>
              </w:rPr>
              <w:t>6. Total Cauze contravenționale</w:t>
            </w:r>
          </w:p>
        </w:tc>
        <w:tc>
          <w:tcPr>
            <w:tcW w:w="926" w:type="dxa"/>
            <w:tcBorders>
              <w:top w:val="nil"/>
              <w:left w:val="single" w:sz="4" w:space="0" w:color="auto"/>
              <w:bottom w:val="single" w:sz="4" w:space="0" w:color="auto"/>
              <w:right w:val="single" w:sz="4" w:space="0" w:color="auto"/>
            </w:tcBorders>
            <w:shd w:val="clear" w:color="000000" w:fill="FDE9D9"/>
            <w:vAlign w:val="center"/>
            <w:hideMark/>
          </w:tcPr>
          <w:p w14:paraId="0CF59553"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23</w:t>
            </w:r>
          </w:p>
        </w:tc>
        <w:tc>
          <w:tcPr>
            <w:tcW w:w="983" w:type="dxa"/>
            <w:tcBorders>
              <w:top w:val="single" w:sz="4" w:space="0" w:color="auto"/>
              <w:left w:val="single" w:sz="4" w:space="0" w:color="auto"/>
              <w:bottom w:val="single" w:sz="4" w:space="0" w:color="auto"/>
              <w:right w:val="single" w:sz="4" w:space="0" w:color="auto"/>
            </w:tcBorders>
            <w:shd w:val="clear" w:color="000000" w:fill="FBE983"/>
            <w:vAlign w:val="center"/>
            <w:hideMark/>
          </w:tcPr>
          <w:p w14:paraId="446E4DB2"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8,68%</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56A77683"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926"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717A590D"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722" w:type="dxa"/>
            <w:tcBorders>
              <w:top w:val="nil"/>
              <w:left w:val="single" w:sz="4" w:space="0" w:color="auto"/>
              <w:bottom w:val="single" w:sz="4" w:space="0" w:color="auto"/>
              <w:right w:val="single" w:sz="4" w:space="0" w:color="auto"/>
            </w:tcBorders>
            <w:shd w:val="clear" w:color="000000" w:fill="FDE9D9"/>
            <w:vAlign w:val="center"/>
            <w:hideMark/>
          </w:tcPr>
          <w:p w14:paraId="7DB74347"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0" w:type="dxa"/>
            <w:tcBorders>
              <w:top w:val="single" w:sz="4" w:space="0" w:color="auto"/>
              <w:left w:val="single" w:sz="4" w:space="0" w:color="auto"/>
              <w:bottom w:val="single" w:sz="4" w:space="0" w:color="auto"/>
              <w:right w:val="single" w:sz="4" w:space="0" w:color="auto"/>
            </w:tcBorders>
            <w:shd w:val="clear" w:color="000000" w:fill="63BE7B"/>
            <w:vAlign w:val="center"/>
            <w:hideMark/>
          </w:tcPr>
          <w:p w14:paraId="7A9CE8DC"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1201" w:type="dxa"/>
            <w:tcBorders>
              <w:top w:val="nil"/>
              <w:left w:val="nil"/>
              <w:bottom w:val="single" w:sz="4" w:space="0" w:color="auto"/>
              <w:right w:val="single" w:sz="4" w:space="0" w:color="auto"/>
            </w:tcBorders>
            <w:shd w:val="clear" w:color="000000" w:fill="FDE9D9"/>
            <w:vAlign w:val="center"/>
            <w:hideMark/>
          </w:tcPr>
          <w:p w14:paraId="709E39AD"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w:t>
            </w:r>
          </w:p>
        </w:tc>
        <w:tc>
          <w:tcPr>
            <w:tcW w:w="866" w:type="dxa"/>
            <w:tcBorders>
              <w:top w:val="single" w:sz="4" w:space="0" w:color="auto"/>
              <w:left w:val="single" w:sz="4" w:space="0" w:color="auto"/>
              <w:bottom w:val="single" w:sz="4" w:space="0" w:color="auto"/>
              <w:right w:val="single" w:sz="4" w:space="0" w:color="auto"/>
            </w:tcBorders>
            <w:shd w:val="clear" w:color="000000" w:fill="F8696B"/>
            <w:vAlign w:val="center"/>
            <w:hideMark/>
          </w:tcPr>
          <w:p w14:paraId="0117A87F"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789" w:type="dxa"/>
            <w:vMerge/>
            <w:tcBorders>
              <w:top w:val="single" w:sz="4" w:space="0" w:color="auto"/>
              <w:left w:val="single" w:sz="4" w:space="0" w:color="auto"/>
              <w:bottom w:val="nil"/>
              <w:right w:val="single" w:sz="4" w:space="0" w:color="auto"/>
            </w:tcBorders>
            <w:vAlign w:val="center"/>
            <w:hideMark/>
          </w:tcPr>
          <w:p w14:paraId="03A7D35A" w14:textId="77777777" w:rsidR="004B4744" w:rsidRPr="00A219DB" w:rsidRDefault="004B4744" w:rsidP="002D569B">
            <w:pPr>
              <w:spacing w:after="0" w:line="240" w:lineRule="auto"/>
              <w:rPr>
                <w:rFonts w:ascii="Arial" w:hAnsi="Arial" w:cs="Arial"/>
                <w:b/>
                <w:bCs/>
                <w:sz w:val="20"/>
                <w:szCs w:val="20"/>
                <w:lang w:val="ro-MD"/>
              </w:rPr>
            </w:pPr>
          </w:p>
        </w:tc>
      </w:tr>
      <w:tr w:rsidR="004B4744" w:rsidRPr="00A219DB" w14:paraId="39133B96" w14:textId="77777777" w:rsidTr="004B4744">
        <w:trPr>
          <w:trHeight w:val="702"/>
        </w:trPr>
        <w:tc>
          <w:tcPr>
            <w:tcW w:w="1995" w:type="dxa"/>
            <w:tcBorders>
              <w:top w:val="nil"/>
              <w:left w:val="single" w:sz="4" w:space="0" w:color="auto"/>
              <w:bottom w:val="single" w:sz="4" w:space="0" w:color="auto"/>
              <w:right w:val="single" w:sz="4" w:space="0" w:color="auto"/>
            </w:tcBorders>
            <w:vAlign w:val="center"/>
            <w:hideMark/>
          </w:tcPr>
          <w:p w14:paraId="08DDF4AF" w14:textId="77777777" w:rsidR="004B4744" w:rsidRPr="00A219DB" w:rsidRDefault="004B4744" w:rsidP="002D569B">
            <w:pPr>
              <w:spacing w:after="0" w:line="240" w:lineRule="auto"/>
              <w:rPr>
                <w:rFonts w:ascii="Arial" w:hAnsi="Arial" w:cs="Arial"/>
                <w:b/>
                <w:bCs/>
                <w:sz w:val="20"/>
                <w:szCs w:val="20"/>
                <w:lang w:val="ro-MD"/>
              </w:rPr>
            </w:pPr>
            <w:r w:rsidRPr="00A219DB">
              <w:rPr>
                <w:rFonts w:ascii="Arial" w:hAnsi="Arial" w:cs="Arial"/>
                <w:b/>
                <w:bCs/>
                <w:sz w:val="20"/>
                <w:szCs w:val="20"/>
                <w:lang w:val="ro-MD"/>
              </w:rPr>
              <w:t>Totalul calculat de cauze</w:t>
            </w:r>
          </w:p>
        </w:tc>
        <w:tc>
          <w:tcPr>
            <w:tcW w:w="926" w:type="dxa"/>
            <w:tcBorders>
              <w:top w:val="single" w:sz="4" w:space="0" w:color="auto"/>
              <w:left w:val="nil"/>
              <w:bottom w:val="single" w:sz="4" w:space="0" w:color="auto"/>
              <w:right w:val="single" w:sz="4" w:space="0" w:color="auto"/>
            </w:tcBorders>
            <w:vAlign w:val="center"/>
            <w:hideMark/>
          </w:tcPr>
          <w:p w14:paraId="46008E6D"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246</w:t>
            </w:r>
          </w:p>
        </w:tc>
        <w:tc>
          <w:tcPr>
            <w:tcW w:w="983" w:type="dxa"/>
            <w:tcBorders>
              <w:top w:val="nil"/>
              <w:left w:val="nil"/>
              <w:bottom w:val="single" w:sz="4" w:space="0" w:color="auto"/>
              <w:right w:val="single" w:sz="4" w:space="0" w:color="auto"/>
            </w:tcBorders>
            <w:shd w:val="clear" w:color="000000" w:fill="FFFFFF"/>
            <w:vAlign w:val="center"/>
            <w:hideMark/>
          </w:tcPr>
          <w:p w14:paraId="1E64D5EC"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92,83%</w:t>
            </w:r>
          </w:p>
        </w:tc>
        <w:tc>
          <w:tcPr>
            <w:tcW w:w="722" w:type="dxa"/>
            <w:tcBorders>
              <w:top w:val="single" w:sz="4" w:space="0" w:color="auto"/>
              <w:left w:val="nil"/>
              <w:bottom w:val="single" w:sz="4" w:space="0" w:color="auto"/>
              <w:right w:val="single" w:sz="4" w:space="0" w:color="auto"/>
            </w:tcBorders>
            <w:vAlign w:val="center"/>
            <w:hideMark/>
          </w:tcPr>
          <w:p w14:paraId="1D6F8EE9"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14</w:t>
            </w:r>
          </w:p>
        </w:tc>
        <w:tc>
          <w:tcPr>
            <w:tcW w:w="926" w:type="dxa"/>
            <w:tcBorders>
              <w:top w:val="nil"/>
              <w:left w:val="nil"/>
              <w:bottom w:val="single" w:sz="4" w:space="0" w:color="auto"/>
              <w:right w:val="single" w:sz="4" w:space="0" w:color="auto"/>
            </w:tcBorders>
            <w:shd w:val="clear" w:color="000000" w:fill="FFFFFF"/>
            <w:vAlign w:val="center"/>
            <w:hideMark/>
          </w:tcPr>
          <w:p w14:paraId="5BCA41C1"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5,28%</w:t>
            </w:r>
          </w:p>
        </w:tc>
        <w:tc>
          <w:tcPr>
            <w:tcW w:w="722" w:type="dxa"/>
            <w:tcBorders>
              <w:top w:val="single" w:sz="4" w:space="0" w:color="auto"/>
              <w:left w:val="nil"/>
              <w:bottom w:val="single" w:sz="4" w:space="0" w:color="auto"/>
              <w:right w:val="single" w:sz="4" w:space="0" w:color="auto"/>
            </w:tcBorders>
            <w:vAlign w:val="center"/>
            <w:hideMark/>
          </w:tcPr>
          <w:p w14:paraId="79498365"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5</w:t>
            </w:r>
          </w:p>
        </w:tc>
        <w:tc>
          <w:tcPr>
            <w:tcW w:w="860" w:type="dxa"/>
            <w:tcBorders>
              <w:top w:val="nil"/>
              <w:left w:val="nil"/>
              <w:bottom w:val="single" w:sz="4" w:space="0" w:color="auto"/>
              <w:right w:val="single" w:sz="4" w:space="0" w:color="auto"/>
            </w:tcBorders>
            <w:shd w:val="clear" w:color="000000" w:fill="FFFFFF"/>
            <w:vAlign w:val="center"/>
            <w:hideMark/>
          </w:tcPr>
          <w:p w14:paraId="1442A451"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1,89%</w:t>
            </w:r>
          </w:p>
        </w:tc>
        <w:tc>
          <w:tcPr>
            <w:tcW w:w="1201" w:type="dxa"/>
            <w:tcBorders>
              <w:top w:val="nil"/>
              <w:left w:val="nil"/>
              <w:bottom w:val="single" w:sz="4" w:space="0" w:color="auto"/>
              <w:right w:val="single" w:sz="4" w:space="0" w:color="auto"/>
            </w:tcBorders>
            <w:vAlign w:val="center"/>
            <w:hideMark/>
          </w:tcPr>
          <w:p w14:paraId="5BA67D2F"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0</w:t>
            </w:r>
          </w:p>
        </w:tc>
        <w:tc>
          <w:tcPr>
            <w:tcW w:w="866" w:type="dxa"/>
            <w:tcBorders>
              <w:top w:val="nil"/>
              <w:left w:val="nil"/>
              <w:bottom w:val="single" w:sz="4" w:space="0" w:color="auto"/>
              <w:right w:val="single" w:sz="4" w:space="0" w:color="auto"/>
            </w:tcBorders>
            <w:shd w:val="clear" w:color="000000" w:fill="FFFFFF"/>
            <w:vAlign w:val="center"/>
            <w:hideMark/>
          </w:tcPr>
          <w:p w14:paraId="1D1D5209" w14:textId="77777777" w:rsidR="004B4744" w:rsidRPr="00A219DB" w:rsidRDefault="004B4744" w:rsidP="002D569B">
            <w:pPr>
              <w:spacing w:after="0" w:line="240" w:lineRule="auto"/>
              <w:jc w:val="center"/>
              <w:rPr>
                <w:rFonts w:ascii="Arial" w:hAnsi="Arial" w:cs="Arial"/>
                <w:sz w:val="20"/>
                <w:szCs w:val="20"/>
                <w:lang w:val="ro-MD"/>
              </w:rPr>
            </w:pPr>
            <w:r w:rsidRPr="00A219DB">
              <w:rPr>
                <w:rFonts w:ascii="Arial" w:hAnsi="Arial" w:cs="Arial"/>
                <w:sz w:val="20"/>
                <w:szCs w:val="20"/>
                <w:lang w:val="ro-MD"/>
              </w:rPr>
              <w:t>0,00%</w:t>
            </w:r>
          </w:p>
        </w:tc>
        <w:tc>
          <w:tcPr>
            <w:tcW w:w="789" w:type="dxa"/>
            <w:tcBorders>
              <w:top w:val="single" w:sz="4" w:space="0" w:color="auto"/>
              <w:left w:val="nil"/>
              <w:bottom w:val="single" w:sz="4" w:space="0" w:color="auto"/>
              <w:right w:val="single" w:sz="4" w:space="0" w:color="auto"/>
            </w:tcBorders>
            <w:noWrap/>
            <w:vAlign w:val="center"/>
            <w:hideMark/>
          </w:tcPr>
          <w:p w14:paraId="08E0F492" w14:textId="77777777" w:rsidR="004B4744" w:rsidRPr="00A219DB" w:rsidRDefault="004B4744" w:rsidP="002D569B">
            <w:pPr>
              <w:spacing w:after="0" w:line="240" w:lineRule="auto"/>
              <w:jc w:val="center"/>
              <w:rPr>
                <w:rFonts w:ascii="Arial" w:hAnsi="Arial" w:cs="Arial"/>
                <w:b/>
                <w:bCs/>
                <w:sz w:val="20"/>
                <w:szCs w:val="20"/>
                <w:lang w:val="ro-MD"/>
              </w:rPr>
            </w:pPr>
            <w:r w:rsidRPr="00A219DB">
              <w:rPr>
                <w:rFonts w:ascii="Arial" w:hAnsi="Arial" w:cs="Arial"/>
                <w:b/>
                <w:bCs/>
                <w:sz w:val="20"/>
                <w:szCs w:val="20"/>
                <w:lang w:val="ro-MD"/>
              </w:rPr>
              <w:t>265</w:t>
            </w:r>
          </w:p>
        </w:tc>
      </w:tr>
    </w:tbl>
    <w:p w14:paraId="31E1CC53" w14:textId="77777777" w:rsidR="004B4744" w:rsidRPr="00A219DB" w:rsidRDefault="004B4744" w:rsidP="00347C4C">
      <w:pPr>
        <w:pStyle w:val="a7"/>
      </w:pPr>
    </w:p>
    <w:p w14:paraId="3CE34DDE" w14:textId="77777777" w:rsidR="004B4744" w:rsidRDefault="004B4744" w:rsidP="00347C4C">
      <w:pPr>
        <w:pStyle w:val="a7"/>
      </w:pPr>
      <w:r w:rsidRPr="00A219DB">
        <w:t>La sfârșitul anului 2020 cauzele care sunt pendinte o</w:t>
      </w:r>
      <w:r w:rsidRPr="00A219DB">
        <w:rPr>
          <w:b/>
        </w:rPr>
        <w:t xml:space="preserve"> perioadă mai mică de un an</w:t>
      </w:r>
      <w:r w:rsidRPr="00A219DB">
        <w:t xml:space="preserve"> reprezintă 92,8% din numǎrul total de cauze pendinte. </w:t>
      </w:r>
    </w:p>
    <w:p w14:paraId="740ABE0B" w14:textId="77777777" w:rsidR="004B4744" w:rsidRDefault="004B4744" w:rsidP="00347C4C">
      <w:pPr>
        <w:pStyle w:val="a7"/>
      </w:pPr>
      <w:r w:rsidRPr="00A219DB">
        <w:t xml:space="preserve">Cauzele pendinte asflate o </w:t>
      </w:r>
      <w:r w:rsidRPr="00A219DB">
        <w:rPr>
          <w:b/>
        </w:rPr>
        <w:t>perioadă între 1an și 2 ani</w:t>
      </w:r>
      <w:r w:rsidRPr="00A219DB">
        <w:t xml:space="preserve"> constituie 5,3% și 1,</w:t>
      </w:r>
      <w:r>
        <w:t>9</w:t>
      </w:r>
      <w:r w:rsidRPr="00A219DB">
        <w:t xml:space="preserve">% sunt pendinte </w:t>
      </w:r>
      <w:r w:rsidRPr="00A219DB">
        <w:rPr>
          <w:b/>
        </w:rPr>
        <w:t xml:space="preserve">între 2 ani și 5 ani. </w:t>
      </w:r>
    </w:p>
    <w:p w14:paraId="37050C98" w14:textId="0B4BBFD3" w:rsidR="004B4744" w:rsidRPr="00A219DB" w:rsidRDefault="004B4744" w:rsidP="00347C4C">
      <w:pPr>
        <w:pStyle w:val="a7"/>
      </w:pPr>
      <w:r w:rsidRPr="00A219DB">
        <w:t xml:space="preserve">Acestea sunt dosare cu un grad de complexitate mai sporit (circumstanțe cum sunt mai multe obiecte, mai multe părți, mai multe volume), care necesită efort și atenție sporită ale judecătorului, fiind necesară și o durată de timp mai îndelungată pentru soluționare. De asemenea sunt și cauze care necesită efectuarea expertizelor, care durează.  </w:t>
      </w:r>
    </w:p>
    <w:p w14:paraId="7B3AD5BF" w14:textId="508D4AA0" w:rsidR="002A7A3A" w:rsidRDefault="002A7A3A">
      <w:pPr>
        <w:rPr>
          <w:lang w:val="ro-MD"/>
        </w:rPr>
      </w:pPr>
    </w:p>
    <w:p w14:paraId="5774B25E" w14:textId="05DBA069" w:rsidR="00937B9C" w:rsidRDefault="00937B9C">
      <w:pPr>
        <w:rPr>
          <w:lang w:val="ro-MD"/>
        </w:rPr>
      </w:pPr>
    </w:p>
    <w:p w14:paraId="55A583C8" w14:textId="49BD6CDE" w:rsidR="00937B9C" w:rsidRDefault="00937B9C">
      <w:pPr>
        <w:rPr>
          <w:lang w:val="ro-MD"/>
        </w:rPr>
      </w:pPr>
    </w:p>
    <w:p w14:paraId="030658FE" w14:textId="2590C1AC" w:rsidR="00937B9C" w:rsidRDefault="00937B9C">
      <w:pPr>
        <w:rPr>
          <w:lang w:val="ro-MD"/>
        </w:rPr>
      </w:pPr>
    </w:p>
    <w:p w14:paraId="443B35DD" w14:textId="77777777" w:rsidR="00937B9C" w:rsidRDefault="00937B9C" w:rsidP="00937B9C">
      <w:pPr>
        <w:pStyle w:val="a8"/>
        <w:tabs>
          <w:tab w:val="left" w:pos="1995"/>
        </w:tabs>
        <w:ind w:left="0" w:right="-2" w:firstLine="567"/>
        <w:jc w:val="center"/>
        <w:rPr>
          <w:rFonts w:ascii="Times New Roman"/>
          <w:b/>
          <w:sz w:val="28"/>
          <w:szCs w:val="28"/>
          <w:lang w:val="ro-MD"/>
        </w:rPr>
      </w:pPr>
    </w:p>
    <w:p w14:paraId="291B4909" w14:textId="1EA53DA9" w:rsidR="00937B9C" w:rsidRPr="00A219DB" w:rsidRDefault="00937B9C" w:rsidP="00937B9C">
      <w:pPr>
        <w:pStyle w:val="a8"/>
        <w:tabs>
          <w:tab w:val="left" w:pos="1995"/>
        </w:tabs>
        <w:ind w:left="0" w:right="-2" w:firstLine="567"/>
        <w:jc w:val="center"/>
        <w:rPr>
          <w:rFonts w:ascii="Times New Roman"/>
          <w:sz w:val="28"/>
          <w:szCs w:val="28"/>
          <w:lang w:val="ro-MD"/>
        </w:rPr>
      </w:pPr>
      <w:r w:rsidRPr="00A219DB">
        <w:rPr>
          <w:rFonts w:ascii="Times New Roman"/>
          <w:b/>
          <w:sz w:val="28"/>
          <w:szCs w:val="28"/>
          <w:lang w:val="ro-MD"/>
        </w:rPr>
        <w:t>Durata lichidării stocului de cauze pendinte (DT) și rata de variație a stocului de cauze pendinte (CR)</w:t>
      </w:r>
    </w:p>
    <w:p w14:paraId="16CD99B1" w14:textId="77777777" w:rsidR="00937B9C" w:rsidRPr="00A219DB" w:rsidRDefault="00937B9C" w:rsidP="00937B9C">
      <w:pPr>
        <w:tabs>
          <w:tab w:val="left" w:pos="1995"/>
        </w:tabs>
        <w:spacing w:after="0"/>
        <w:ind w:right="-2" w:firstLine="567"/>
        <w:jc w:val="both"/>
        <w:rPr>
          <w:rFonts w:ascii="Times New Roman"/>
          <w:sz w:val="24"/>
          <w:szCs w:val="24"/>
          <w:lang w:val="ro-MD"/>
        </w:rPr>
      </w:pPr>
      <w:r w:rsidRPr="00A219DB">
        <w:rPr>
          <w:rFonts w:ascii="Times New Roman"/>
          <w:sz w:val="28"/>
          <w:szCs w:val="28"/>
          <w:lang w:val="ro-MD"/>
        </w:rPr>
        <w:t xml:space="preserve"> </w:t>
      </w:r>
      <w:r w:rsidRPr="00A219DB">
        <w:rPr>
          <w:rFonts w:ascii="Times New Roman"/>
          <w:sz w:val="24"/>
          <w:szCs w:val="24"/>
          <w:lang w:val="ro-MD"/>
        </w:rPr>
        <w:t>Rapiditatea cu care o instan</w:t>
      </w:r>
      <w:r w:rsidRPr="00A219DB">
        <w:rPr>
          <w:rFonts w:ascii="Times New Roman"/>
          <w:sz w:val="24"/>
          <w:szCs w:val="24"/>
          <w:lang w:val="ro-MD"/>
        </w:rPr>
        <w:t>ță</w:t>
      </w:r>
      <w:r w:rsidRPr="00A219DB">
        <w:rPr>
          <w:rFonts w:ascii="Times New Roman"/>
          <w:sz w:val="24"/>
          <w:szCs w:val="24"/>
          <w:lang w:val="ro-MD"/>
        </w:rPr>
        <w:t xml:space="preserve"> examineaz</w:t>
      </w:r>
      <w:r w:rsidRPr="00A219DB">
        <w:rPr>
          <w:rFonts w:ascii="Times New Roman"/>
          <w:sz w:val="24"/>
          <w:szCs w:val="24"/>
          <w:lang w:val="ro-MD"/>
        </w:rPr>
        <w:t>ă</w:t>
      </w:r>
      <w:r w:rsidRPr="00A219DB">
        <w:rPr>
          <w:rFonts w:ascii="Times New Roman"/>
          <w:sz w:val="24"/>
          <w:szCs w:val="24"/>
          <w:lang w:val="ro-MD"/>
        </w:rPr>
        <w:t xml:space="preserve"> cauzele, precum </w:t>
      </w:r>
      <w:r w:rsidRPr="00A219DB">
        <w:rPr>
          <w:rFonts w:ascii="Times New Roman"/>
          <w:sz w:val="24"/>
          <w:szCs w:val="24"/>
          <w:lang w:val="ro-MD"/>
        </w:rPr>
        <w:t>ș</w:t>
      </w:r>
      <w:r w:rsidRPr="00A219DB">
        <w:rPr>
          <w:rFonts w:ascii="Times New Roman"/>
          <w:sz w:val="24"/>
          <w:szCs w:val="24"/>
          <w:lang w:val="ro-MD"/>
        </w:rPr>
        <w:t>i capacitatea acesteia de a face fa</w:t>
      </w:r>
      <w:r w:rsidRPr="00A219DB">
        <w:rPr>
          <w:rFonts w:ascii="Times New Roman"/>
          <w:sz w:val="24"/>
          <w:szCs w:val="24"/>
          <w:lang w:val="ro-MD"/>
        </w:rPr>
        <w:t>ță</w:t>
      </w:r>
      <w:r w:rsidRPr="00A219DB">
        <w:rPr>
          <w:rFonts w:ascii="Times New Roman"/>
          <w:sz w:val="24"/>
          <w:szCs w:val="24"/>
          <w:lang w:val="ro-MD"/>
        </w:rPr>
        <w:t xml:space="preserve"> fluxului de cauze noi, pot fi m</w:t>
      </w:r>
      <w:r w:rsidRPr="00A219DB">
        <w:rPr>
          <w:rFonts w:ascii="Times New Roman"/>
          <w:sz w:val="24"/>
          <w:szCs w:val="24"/>
          <w:lang w:val="ro-MD"/>
        </w:rPr>
        <w:t>ă</w:t>
      </w:r>
      <w:r w:rsidRPr="00A219DB">
        <w:rPr>
          <w:rFonts w:ascii="Times New Roman"/>
          <w:sz w:val="24"/>
          <w:szCs w:val="24"/>
          <w:lang w:val="ro-MD"/>
        </w:rPr>
        <w:t>surate prin</w:t>
      </w:r>
      <w:r w:rsidRPr="00A219DB">
        <w:rPr>
          <w:rFonts w:ascii="Times New Roman"/>
          <w:b/>
          <w:sz w:val="24"/>
          <w:szCs w:val="24"/>
          <w:lang w:val="ro-MD"/>
        </w:rPr>
        <w:t xml:space="preserve"> raportul </w:t>
      </w:r>
      <w:r w:rsidRPr="00A219DB">
        <w:rPr>
          <w:rFonts w:ascii="Times New Roman"/>
          <w:sz w:val="24"/>
          <w:szCs w:val="24"/>
          <w:lang w:val="ro-MD"/>
        </w:rPr>
        <w:t>dintre num</w:t>
      </w:r>
      <w:r w:rsidRPr="00A219DB">
        <w:rPr>
          <w:rFonts w:ascii="Times New Roman"/>
          <w:sz w:val="24"/>
          <w:szCs w:val="24"/>
          <w:lang w:val="ro-MD"/>
        </w:rPr>
        <w:t>ă</w:t>
      </w:r>
      <w:r w:rsidRPr="00A219DB">
        <w:rPr>
          <w:rFonts w:ascii="Times New Roman"/>
          <w:sz w:val="24"/>
          <w:szCs w:val="24"/>
          <w:lang w:val="ro-MD"/>
        </w:rPr>
        <w:t>rul de cauze solu</w:t>
      </w:r>
      <w:r w:rsidRPr="00A219DB">
        <w:rPr>
          <w:rFonts w:ascii="Times New Roman"/>
          <w:sz w:val="24"/>
          <w:szCs w:val="24"/>
          <w:lang w:val="ro-MD"/>
        </w:rPr>
        <w:t>ț</w:t>
      </w:r>
      <w:r w:rsidRPr="00A219DB">
        <w:rPr>
          <w:rFonts w:ascii="Times New Roman"/>
          <w:sz w:val="24"/>
          <w:szCs w:val="24"/>
          <w:lang w:val="ro-MD"/>
        </w:rPr>
        <w:t xml:space="preserve">ionate </w:t>
      </w:r>
      <w:r w:rsidRPr="00A219DB">
        <w:rPr>
          <w:rFonts w:ascii="Times New Roman"/>
          <w:sz w:val="24"/>
          <w:szCs w:val="24"/>
          <w:lang w:val="ro-MD"/>
        </w:rPr>
        <w:t>î</w:t>
      </w:r>
      <w:r w:rsidRPr="00A219DB">
        <w:rPr>
          <w:rFonts w:ascii="Times New Roman"/>
          <w:sz w:val="24"/>
          <w:szCs w:val="24"/>
          <w:lang w:val="ro-MD"/>
        </w:rPr>
        <w:t xml:space="preserve">n decursul unei perioade </w:t>
      </w:r>
      <w:r w:rsidRPr="00A219DB">
        <w:rPr>
          <w:rFonts w:ascii="Times New Roman"/>
          <w:sz w:val="24"/>
          <w:szCs w:val="24"/>
          <w:lang w:val="ro-MD"/>
        </w:rPr>
        <w:t>ș</w:t>
      </w:r>
      <w:r w:rsidRPr="00A219DB">
        <w:rPr>
          <w:rFonts w:ascii="Times New Roman"/>
          <w:sz w:val="24"/>
          <w:szCs w:val="24"/>
          <w:lang w:val="ro-MD"/>
        </w:rPr>
        <w:t>i num</w:t>
      </w:r>
      <w:r w:rsidRPr="00A219DB">
        <w:rPr>
          <w:rFonts w:ascii="Times New Roman"/>
          <w:sz w:val="24"/>
          <w:szCs w:val="24"/>
          <w:lang w:val="ro-MD"/>
        </w:rPr>
        <w:t>ă</w:t>
      </w:r>
      <w:r w:rsidRPr="00A219DB">
        <w:rPr>
          <w:rFonts w:ascii="Times New Roman"/>
          <w:sz w:val="24"/>
          <w:szCs w:val="24"/>
          <w:lang w:val="ro-MD"/>
        </w:rPr>
        <w:t>rul de cauze nesolu</w:t>
      </w:r>
      <w:r w:rsidRPr="00A219DB">
        <w:rPr>
          <w:rFonts w:ascii="Times New Roman"/>
          <w:sz w:val="24"/>
          <w:szCs w:val="24"/>
          <w:lang w:val="ro-MD"/>
        </w:rPr>
        <w:t>ț</w:t>
      </w:r>
      <w:r w:rsidRPr="00A219DB">
        <w:rPr>
          <w:rFonts w:ascii="Times New Roman"/>
          <w:sz w:val="24"/>
          <w:szCs w:val="24"/>
          <w:lang w:val="ro-MD"/>
        </w:rPr>
        <w:t>ionate la sf</w:t>
      </w:r>
      <w:r w:rsidRPr="00A219DB">
        <w:rPr>
          <w:rFonts w:ascii="Times New Roman"/>
          <w:sz w:val="24"/>
          <w:szCs w:val="24"/>
          <w:lang w:val="ro-MD"/>
        </w:rPr>
        <w:t>â</w:t>
      </w:r>
      <w:r w:rsidRPr="00A219DB">
        <w:rPr>
          <w:rFonts w:ascii="Times New Roman"/>
          <w:sz w:val="24"/>
          <w:szCs w:val="24"/>
          <w:lang w:val="ro-MD"/>
        </w:rPr>
        <w:t>r</w:t>
      </w:r>
      <w:r w:rsidRPr="00A219DB">
        <w:rPr>
          <w:rFonts w:ascii="Times New Roman"/>
          <w:sz w:val="24"/>
          <w:szCs w:val="24"/>
          <w:lang w:val="ro-MD"/>
        </w:rPr>
        <w:t>ș</w:t>
      </w:r>
      <w:r w:rsidRPr="00A219DB">
        <w:rPr>
          <w:rFonts w:ascii="Times New Roman"/>
          <w:sz w:val="24"/>
          <w:szCs w:val="24"/>
          <w:lang w:val="ro-MD"/>
        </w:rPr>
        <w:t xml:space="preserve">itul perioadei respective, pe de o parte, </w:t>
      </w:r>
      <w:r w:rsidRPr="00A219DB">
        <w:rPr>
          <w:rFonts w:ascii="Times New Roman"/>
          <w:sz w:val="24"/>
          <w:szCs w:val="24"/>
          <w:lang w:val="ro-MD"/>
        </w:rPr>
        <w:t>ș</w:t>
      </w:r>
      <w:r w:rsidRPr="00A219DB">
        <w:rPr>
          <w:rFonts w:ascii="Times New Roman"/>
          <w:sz w:val="24"/>
          <w:szCs w:val="24"/>
          <w:lang w:val="ro-MD"/>
        </w:rPr>
        <w:t xml:space="preserve">i raportul dintre cauzele noi </w:t>
      </w:r>
      <w:r w:rsidRPr="00A219DB">
        <w:rPr>
          <w:rFonts w:ascii="Times New Roman"/>
          <w:sz w:val="24"/>
          <w:szCs w:val="24"/>
          <w:lang w:val="ro-MD"/>
        </w:rPr>
        <w:t>ș</w:t>
      </w:r>
      <w:r w:rsidRPr="00A219DB">
        <w:rPr>
          <w:rFonts w:ascii="Times New Roman"/>
          <w:sz w:val="24"/>
          <w:szCs w:val="24"/>
          <w:lang w:val="ro-MD"/>
        </w:rPr>
        <w:t>i cele solu</w:t>
      </w:r>
      <w:r w:rsidRPr="00A219DB">
        <w:rPr>
          <w:rFonts w:ascii="Times New Roman"/>
          <w:sz w:val="24"/>
          <w:szCs w:val="24"/>
          <w:lang w:val="ro-MD"/>
        </w:rPr>
        <w:t>ț</w:t>
      </w:r>
      <w:r w:rsidRPr="00A219DB">
        <w:rPr>
          <w:rFonts w:ascii="Times New Roman"/>
          <w:sz w:val="24"/>
          <w:szCs w:val="24"/>
          <w:lang w:val="ro-MD"/>
        </w:rPr>
        <w:t xml:space="preserve">ionate </w:t>
      </w:r>
      <w:r w:rsidRPr="00A219DB">
        <w:rPr>
          <w:rFonts w:ascii="Times New Roman"/>
          <w:sz w:val="24"/>
          <w:szCs w:val="24"/>
          <w:lang w:val="ro-MD"/>
        </w:rPr>
        <w:t>î</w:t>
      </w:r>
      <w:r w:rsidRPr="00A219DB">
        <w:rPr>
          <w:rFonts w:ascii="Times New Roman"/>
          <w:sz w:val="24"/>
          <w:szCs w:val="24"/>
          <w:lang w:val="ro-MD"/>
        </w:rPr>
        <w:t>n decursul aceleia</w:t>
      </w:r>
      <w:r w:rsidRPr="00A219DB">
        <w:rPr>
          <w:rFonts w:ascii="Times New Roman"/>
          <w:sz w:val="24"/>
          <w:szCs w:val="24"/>
          <w:lang w:val="ro-MD"/>
        </w:rPr>
        <w:t>ș</w:t>
      </w:r>
      <w:r w:rsidRPr="00A219DB">
        <w:rPr>
          <w:rFonts w:ascii="Times New Roman"/>
          <w:sz w:val="24"/>
          <w:szCs w:val="24"/>
          <w:lang w:val="ro-MD"/>
        </w:rPr>
        <w:t>i perioade, pe de alt</w:t>
      </w:r>
      <w:r w:rsidRPr="00A219DB">
        <w:rPr>
          <w:rFonts w:ascii="Times New Roman"/>
          <w:sz w:val="24"/>
          <w:szCs w:val="24"/>
          <w:lang w:val="ro-MD"/>
        </w:rPr>
        <w:t>ă</w:t>
      </w:r>
      <w:r w:rsidRPr="00A219DB">
        <w:rPr>
          <w:rFonts w:ascii="Times New Roman"/>
          <w:sz w:val="24"/>
          <w:szCs w:val="24"/>
          <w:lang w:val="ro-MD"/>
        </w:rPr>
        <w:t xml:space="preserve"> parte. </w:t>
      </w:r>
    </w:p>
    <w:p w14:paraId="688DD059" w14:textId="77777777" w:rsidR="00937B9C" w:rsidRPr="00A219DB" w:rsidRDefault="00937B9C" w:rsidP="00937B9C">
      <w:pPr>
        <w:tabs>
          <w:tab w:val="left" w:pos="1995"/>
        </w:tabs>
        <w:spacing w:after="0"/>
        <w:ind w:right="-2" w:firstLine="567"/>
        <w:jc w:val="both"/>
        <w:rPr>
          <w:rFonts w:ascii="Times New Roman"/>
          <w:sz w:val="24"/>
          <w:szCs w:val="24"/>
          <w:lang w:val="ro-MD"/>
        </w:rPr>
      </w:pPr>
      <w:r w:rsidRPr="00A219DB">
        <w:rPr>
          <w:rFonts w:ascii="Times New Roman"/>
          <w:sz w:val="24"/>
          <w:szCs w:val="24"/>
          <w:lang w:val="ro-MD"/>
        </w:rPr>
        <w:t>Tabelele de mai sunt indicatori recomanda</w:t>
      </w:r>
      <w:r w:rsidRPr="00A219DB">
        <w:rPr>
          <w:rFonts w:ascii="Times New Roman"/>
          <w:sz w:val="24"/>
          <w:szCs w:val="24"/>
          <w:lang w:val="ro-MD"/>
        </w:rPr>
        <w:t>ț</w:t>
      </w:r>
      <w:r w:rsidRPr="00A219DB">
        <w:rPr>
          <w:rFonts w:ascii="Times New Roman"/>
          <w:sz w:val="24"/>
          <w:szCs w:val="24"/>
          <w:lang w:val="ro-MD"/>
        </w:rPr>
        <w:t>i de CEPEJ pentru evaluarea eficien</w:t>
      </w:r>
      <w:r w:rsidRPr="00A219DB">
        <w:rPr>
          <w:rFonts w:ascii="Times New Roman"/>
          <w:sz w:val="24"/>
          <w:szCs w:val="24"/>
          <w:lang w:val="ro-MD"/>
        </w:rPr>
        <w:t>ț</w:t>
      </w:r>
      <w:r w:rsidRPr="00A219DB">
        <w:rPr>
          <w:rFonts w:ascii="Times New Roman"/>
          <w:sz w:val="24"/>
          <w:szCs w:val="24"/>
          <w:lang w:val="ro-MD"/>
        </w:rPr>
        <w:t>ei instan</w:t>
      </w:r>
      <w:r w:rsidRPr="00A219DB">
        <w:rPr>
          <w:rFonts w:ascii="Times New Roman"/>
          <w:sz w:val="24"/>
          <w:szCs w:val="24"/>
          <w:lang w:val="ro-MD"/>
        </w:rPr>
        <w:t>ț</w:t>
      </w:r>
      <w:r w:rsidRPr="00A219DB">
        <w:rPr>
          <w:rFonts w:ascii="Times New Roman"/>
          <w:sz w:val="24"/>
          <w:szCs w:val="24"/>
          <w:lang w:val="ro-MD"/>
        </w:rPr>
        <w:t xml:space="preserve">ei judiciare </w:t>
      </w:r>
      <w:r w:rsidRPr="00A219DB">
        <w:rPr>
          <w:rFonts w:ascii="Times New Roman"/>
          <w:sz w:val="24"/>
          <w:szCs w:val="24"/>
          <w:lang w:val="ro-MD"/>
        </w:rPr>
        <w:t>ș</w:t>
      </w:r>
      <w:r w:rsidRPr="00A219DB">
        <w:rPr>
          <w:rFonts w:ascii="Times New Roman"/>
          <w:sz w:val="24"/>
          <w:szCs w:val="24"/>
          <w:lang w:val="ro-MD"/>
        </w:rPr>
        <w:t>i anume: rata de varia</w:t>
      </w:r>
      <w:r w:rsidRPr="00A219DB">
        <w:rPr>
          <w:rFonts w:ascii="Times New Roman"/>
          <w:sz w:val="24"/>
          <w:szCs w:val="24"/>
          <w:lang w:val="ro-MD"/>
        </w:rPr>
        <w:t>ț</w:t>
      </w:r>
      <w:r w:rsidRPr="00A219DB">
        <w:rPr>
          <w:rFonts w:ascii="Times New Roman"/>
          <w:sz w:val="24"/>
          <w:szCs w:val="24"/>
          <w:lang w:val="ro-MD"/>
        </w:rPr>
        <w:t xml:space="preserve">ie a stocului de cauze pendinte (CR) </w:t>
      </w:r>
      <w:r w:rsidRPr="00A219DB">
        <w:rPr>
          <w:rFonts w:ascii="Times New Roman"/>
          <w:sz w:val="24"/>
          <w:szCs w:val="24"/>
          <w:lang w:val="ro-MD"/>
        </w:rPr>
        <w:t>ș</w:t>
      </w:r>
      <w:r w:rsidRPr="00A219DB">
        <w:rPr>
          <w:rFonts w:ascii="Times New Roman"/>
          <w:sz w:val="24"/>
          <w:szCs w:val="24"/>
          <w:lang w:val="ro-MD"/>
        </w:rPr>
        <w:t>i durata lichid</w:t>
      </w:r>
      <w:r w:rsidRPr="00A219DB">
        <w:rPr>
          <w:rFonts w:ascii="Times New Roman"/>
          <w:sz w:val="24"/>
          <w:szCs w:val="24"/>
          <w:lang w:val="ro-MD"/>
        </w:rPr>
        <w:t>ă</w:t>
      </w:r>
      <w:r w:rsidRPr="00A219DB">
        <w:rPr>
          <w:rFonts w:ascii="Times New Roman"/>
          <w:sz w:val="24"/>
          <w:szCs w:val="24"/>
          <w:lang w:val="ro-MD"/>
        </w:rPr>
        <w:t>rii stocului de cauze pendinte (DT), pentru anii 2018-2020.</w:t>
      </w:r>
    </w:p>
    <w:p w14:paraId="237ED740" w14:textId="77777777" w:rsidR="00937B9C" w:rsidRPr="00A219DB" w:rsidRDefault="00937B9C" w:rsidP="00937B9C">
      <w:pPr>
        <w:tabs>
          <w:tab w:val="left" w:pos="1995"/>
        </w:tabs>
        <w:spacing w:after="0"/>
        <w:ind w:right="-2" w:firstLine="567"/>
        <w:jc w:val="both"/>
        <w:rPr>
          <w:rFonts w:ascii="Times New Roman"/>
          <w:sz w:val="24"/>
          <w:szCs w:val="24"/>
          <w:lang w:val="ro-MD"/>
        </w:rPr>
      </w:pPr>
    </w:p>
    <w:p w14:paraId="541481D3" w14:textId="77777777" w:rsidR="00937B9C" w:rsidRPr="005B10E3" w:rsidRDefault="00937B9C" w:rsidP="00937B9C">
      <w:pPr>
        <w:pStyle w:val="a4"/>
        <w:spacing w:after="0"/>
        <w:ind w:right="-2" w:firstLine="567"/>
        <w:jc w:val="both"/>
        <w:rPr>
          <w:rFonts w:ascii="Times New Roman" w:hAnsi="Times New Roman"/>
          <w:b/>
          <w:bCs/>
          <w:i/>
          <w:sz w:val="24"/>
          <w:szCs w:val="24"/>
          <w:lang w:val="ro-MD" w:eastAsia="en-US"/>
        </w:rPr>
      </w:pPr>
      <w:r w:rsidRPr="005B10E3">
        <w:rPr>
          <w:rFonts w:ascii="Times New Roman" w:hAnsi="Times New Roman"/>
          <w:b/>
          <w:bCs/>
          <w:i/>
          <w:sz w:val="24"/>
          <w:szCs w:val="24"/>
          <w:lang w:val="ro-MD" w:eastAsia="en-US"/>
        </w:rPr>
        <w:t>Tabelele nr.10  Durata lichidării stocului de cauze pendinte pentru toate categoriile de cauze</w:t>
      </w:r>
    </w:p>
    <w:p w14:paraId="31C551BF" w14:textId="77777777" w:rsidR="00937B9C" w:rsidRPr="00A219DB" w:rsidRDefault="00937B9C" w:rsidP="00937B9C">
      <w:pPr>
        <w:pStyle w:val="a4"/>
        <w:spacing w:after="0"/>
        <w:ind w:right="-2" w:firstLine="567"/>
        <w:jc w:val="both"/>
        <w:rPr>
          <w:rFonts w:ascii="Times New Roman" w:hAnsi="Times New Roman"/>
          <w:b/>
          <w:i/>
          <w:sz w:val="24"/>
          <w:szCs w:val="24"/>
          <w:lang w:val="ro-MD" w:eastAsia="en-US"/>
        </w:rPr>
      </w:pPr>
    </w:p>
    <w:p w14:paraId="79DDDAE9" w14:textId="2F5F49B7" w:rsidR="00937B9C" w:rsidRPr="00A219DB" w:rsidRDefault="00937B9C" w:rsidP="00937B9C">
      <w:pPr>
        <w:pStyle w:val="a4"/>
        <w:spacing w:after="0"/>
        <w:ind w:left="1134" w:right="567"/>
        <w:rPr>
          <w:noProof/>
          <w:lang w:val="ro-MD" w:eastAsia="en-US"/>
        </w:rPr>
      </w:pPr>
      <w:r w:rsidRPr="00A219DB">
        <w:rPr>
          <w:noProof/>
          <w:lang w:val="ru-RU" w:eastAsia="ru-RU"/>
        </w:rPr>
        <w:drawing>
          <wp:inline distT="0" distB="0" distL="0" distR="0" wp14:anchorId="0B0F7AFE" wp14:editId="1D4ECA12">
            <wp:extent cx="5652770" cy="4095750"/>
            <wp:effectExtent l="0" t="0" r="508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240445" w14:textId="77777777" w:rsidR="00937B9C" w:rsidRPr="00A219DB" w:rsidRDefault="00937B9C" w:rsidP="00937B9C">
      <w:pPr>
        <w:pStyle w:val="a4"/>
        <w:spacing w:after="0"/>
        <w:ind w:left="1134" w:right="567"/>
        <w:rPr>
          <w:noProof/>
          <w:lang w:val="ro-MD" w:eastAsia="en-US"/>
        </w:rPr>
      </w:pPr>
    </w:p>
    <w:p w14:paraId="0E924023" w14:textId="72AAD473" w:rsidR="00937B9C" w:rsidRPr="00A219DB" w:rsidRDefault="00937B9C" w:rsidP="00347C4C">
      <w:pPr>
        <w:pStyle w:val="a7"/>
      </w:pPr>
      <w:r w:rsidRPr="00A219DB">
        <w:t xml:space="preserve">Curtea de Apel Cahul, ca rezultat necesită 53 zile </w:t>
      </w:r>
      <w:r w:rsidRPr="00A219DB">
        <w:rPr>
          <w:b/>
        </w:rPr>
        <w:t xml:space="preserve">pentru soluționarea totalului de cauze </w:t>
      </w:r>
      <w:r w:rsidRPr="00A219DB">
        <w:t xml:space="preserve">aflate pe rol. Indirect, acest indicator mai sugerează că, în mediu, cauzele (toate categoriile) sunt examinate tot în decurs de aproximativ 53 zile.  </w:t>
      </w:r>
    </w:p>
    <w:p w14:paraId="1BB32C80" w14:textId="77777777" w:rsidR="00937B9C" w:rsidRPr="00A219DB" w:rsidRDefault="00937B9C" w:rsidP="00937B9C">
      <w:pPr>
        <w:pStyle w:val="a4"/>
        <w:spacing w:after="0"/>
        <w:ind w:left="1134" w:right="567"/>
        <w:rPr>
          <w:noProof/>
          <w:lang w:val="ro-MD" w:eastAsia="en-US"/>
        </w:rPr>
      </w:pPr>
    </w:p>
    <w:p w14:paraId="2306DD38" w14:textId="77777777" w:rsidR="00937B9C" w:rsidRDefault="00937B9C" w:rsidP="00937B9C">
      <w:pPr>
        <w:pStyle w:val="a4"/>
        <w:spacing w:after="0"/>
        <w:ind w:left="1134" w:right="567"/>
        <w:rPr>
          <w:rFonts w:ascii="Times New Roman" w:hAnsi="Times New Roman"/>
          <w:b/>
          <w:bCs/>
          <w:i/>
          <w:sz w:val="24"/>
          <w:szCs w:val="24"/>
          <w:lang w:val="ro-MD" w:eastAsia="en-US"/>
        </w:rPr>
      </w:pPr>
    </w:p>
    <w:p w14:paraId="0A8C6A48" w14:textId="77777777" w:rsidR="00937B9C" w:rsidRDefault="00937B9C" w:rsidP="00937B9C">
      <w:pPr>
        <w:pStyle w:val="a4"/>
        <w:spacing w:after="0"/>
        <w:ind w:left="1134" w:right="567"/>
        <w:rPr>
          <w:rFonts w:ascii="Times New Roman" w:hAnsi="Times New Roman"/>
          <w:b/>
          <w:bCs/>
          <w:i/>
          <w:sz w:val="24"/>
          <w:szCs w:val="24"/>
          <w:lang w:val="ro-MD" w:eastAsia="en-US"/>
        </w:rPr>
      </w:pPr>
    </w:p>
    <w:p w14:paraId="75D6F160" w14:textId="77777777" w:rsidR="00937B9C" w:rsidRDefault="00937B9C" w:rsidP="00937B9C">
      <w:pPr>
        <w:pStyle w:val="a4"/>
        <w:spacing w:after="0"/>
        <w:ind w:left="1134" w:right="567"/>
        <w:rPr>
          <w:rFonts w:ascii="Times New Roman" w:hAnsi="Times New Roman"/>
          <w:b/>
          <w:bCs/>
          <w:i/>
          <w:sz w:val="24"/>
          <w:szCs w:val="24"/>
          <w:lang w:val="ro-MD" w:eastAsia="en-US"/>
        </w:rPr>
      </w:pPr>
    </w:p>
    <w:p w14:paraId="0A36D780" w14:textId="77777777" w:rsidR="00937B9C" w:rsidRDefault="00937B9C" w:rsidP="00937B9C">
      <w:pPr>
        <w:pStyle w:val="a4"/>
        <w:spacing w:after="0"/>
        <w:ind w:left="1134" w:right="567"/>
        <w:rPr>
          <w:rFonts w:ascii="Times New Roman" w:hAnsi="Times New Roman"/>
          <w:b/>
          <w:bCs/>
          <w:i/>
          <w:sz w:val="24"/>
          <w:szCs w:val="24"/>
          <w:lang w:val="ro-MD" w:eastAsia="en-US"/>
        </w:rPr>
      </w:pPr>
    </w:p>
    <w:p w14:paraId="1CCE6ACC" w14:textId="77777777" w:rsidR="00937B9C" w:rsidRDefault="00937B9C" w:rsidP="00937B9C">
      <w:pPr>
        <w:pStyle w:val="a4"/>
        <w:spacing w:after="0"/>
        <w:ind w:left="1134" w:right="567"/>
        <w:rPr>
          <w:rFonts w:ascii="Times New Roman" w:hAnsi="Times New Roman"/>
          <w:b/>
          <w:bCs/>
          <w:i/>
          <w:sz w:val="24"/>
          <w:szCs w:val="24"/>
          <w:lang w:val="ro-MD" w:eastAsia="en-US"/>
        </w:rPr>
      </w:pPr>
    </w:p>
    <w:p w14:paraId="7E0ADB8F" w14:textId="77777777" w:rsidR="00937B9C" w:rsidRDefault="00937B9C" w:rsidP="00937B9C">
      <w:pPr>
        <w:pStyle w:val="a4"/>
        <w:spacing w:after="0"/>
        <w:ind w:left="1134" w:right="567"/>
        <w:rPr>
          <w:rFonts w:ascii="Times New Roman" w:hAnsi="Times New Roman"/>
          <w:b/>
          <w:bCs/>
          <w:i/>
          <w:sz w:val="24"/>
          <w:szCs w:val="24"/>
          <w:lang w:val="ro-MD" w:eastAsia="en-US"/>
        </w:rPr>
      </w:pPr>
    </w:p>
    <w:p w14:paraId="700CAAB5" w14:textId="77777777" w:rsidR="00937B9C" w:rsidRDefault="00937B9C" w:rsidP="00937B9C">
      <w:pPr>
        <w:pStyle w:val="a4"/>
        <w:spacing w:after="0"/>
        <w:ind w:left="1134" w:right="567"/>
        <w:rPr>
          <w:rFonts w:ascii="Times New Roman" w:hAnsi="Times New Roman"/>
          <w:b/>
          <w:bCs/>
          <w:i/>
          <w:sz w:val="24"/>
          <w:szCs w:val="24"/>
          <w:lang w:val="ro-MD" w:eastAsia="en-US"/>
        </w:rPr>
      </w:pPr>
    </w:p>
    <w:p w14:paraId="1673757C" w14:textId="77777777" w:rsidR="00937B9C" w:rsidRDefault="00937B9C" w:rsidP="00937B9C">
      <w:pPr>
        <w:pStyle w:val="a4"/>
        <w:spacing w:after="0"/>
        <w:ind w:left="1134" w:right="567"/>
        <w:rPr>
          <w:rFonts w:ascii="Times New Roman" w:hAnsi="Times New Roman"/>
          <w:b/>
          <w:bCs/>
          <w:i/>
          <w:sz w:val="24"/>
          <w:szCs w:val="24"/>
          <w:lang w:val="ro-MD" w:eastAsia="en-US"/>
        </w:rPr>
      </w:pPr>
    </w:p>
    <w:p w14:paraId="461E69DB" w14:textId="77777777" w:rsidR="00937B9C" w:rsidRDefault="00937B9C" w:rsidP="00937B9C">
      <w:pPr>
        <w:pStyle w:val="a4"/>
        <w:spacing w:after="0"/>
        <w:ind w:left="1134" w:right="567"/>
        <w:rPr>
          <w:rFonts w:ascii="Times New Roman" w:hAnsi="Times New Roman"/>
          <w:b/>
          <w:bCs/>
          <w:i/>
          <w:sz w:val="24"/>
          <w:szCs w:val="24"/>
          <w:lang w:val="ro-MD" w:eastAsia="en-US"/>
        </w:rPr>
      </w:pPr>
    </w:p>
    <w:p w14:paraId="1B6EFFBD" w14:textId="77777777" w:rsidR="00937B9C" w:rsidRDefault="00937B9C" w:rsidP="00937B9C">
      <w:pPr>
        <w:pStyle w:val="a4"/>
        <w:spacing w:after="0"/>
        <w:ind w:left="1134" w:right="567"/>
        <w:rPr>
          <w:rFonts w:ascii="Times New Roman" w:hAnsi="Times New Roman"/>
          <w:b/>
          <w:bCs/>
          <w:i/>
          <w:sz w:val="24"/>
          <w:szCs w:val="24"/>
          <w:lang w:val="ro-MD" w:eastAsia="en-US"/>
        </w:rPr>
      </w:pPr>
    </w:p>
    <w:p w14:paraId="0E66B34C" w14:textId="126CB0FD" w:rsidR="00937B9C" w:rsidRPr="00937B9C" w:rsidRDefault="00937B9C" w:rsidP="00937B9C">
      <w:pPr>
        <w:pStyle w:val="a4"/>
        <w:spacing w:after="0"/>
        <w:ind w:left="1134" w:right="567"/>
        <w:rPr>
          <w:rFonts w:ascii="Times New Roman" w:hAnsi="Times New Roman"/>
          <w:b/>
          <w:bCs/>
          <w:i/>
          <w:sz w:val="24"/>
          <w:szCs w:val="24"/>
          <w:lang w:val="ro-MD" w:eastAsia="en-US"/>
        </w:rPr>
      </w:pPr>
      <w:r w:rsidRPr="005B10E3">
        <w:rPr>
          <w:rFonts w:ascii="Times New Roman" w:hAnsi="Times New Roman"/>
          <w:b/>
          <w:bCs/>
          <w:i/>
          <w:sz w:val="24"/>
          <w:szCs w:val="24"/>
          <w:lang w:val="ro-MD" w:eastAsia="en-US"/>
        </w:rPr>
        <w:lastRenderedPageBreak/>
        <w:t>Tabelele  nr.11: Rata de variație a stocului de cauze pendinte pentru toate categoriile de cauze</w:t>
      </w:r>
    </w:p>
    <w:p w14:paraId="14F91446" w14:textId="690B3E56" w:rsidR="00937B9C" w:rsidRPr="00A219DB" w:rsidRDefault="00937B9C" w:rsidP="00937B9C">
      <w:pPr>
        <w:pStyle w:val="a4"/>
        <w:spacing w:after="0"/>
        <w:ind w:left="1134" w:right="567"/>
        <w:rPr>
          <w:rFonts w:ascii="Times New Roman" w:hAnsi="Times New Roman"/>
          <w:b/>
          <w:i/>
          <w:sz w:val="24"/>
          <w:szCs w:val="24"/>
          <w:lang w:val="ro-MD" w:eastAsia="en-US"/>
        </w:rPr>
      </w:pPr>
      <w:r w:rsidRPr="00A219DB">
        <w:rPr>
          <w:noProof/>
          <w:lang w:val="ru-RU" w:eastAsia="ru-RU"/>
        </w:rPr>
        <w:drawing>
          <wp:inline distT="0" distB="0" distL="0" distR="0" wp14:anchorId="6BEE1EAA" wp14:editId="1D5879F7">
            <wp:extent cx="5715000" cy="2943225"/>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8B749B" w14:textId="77777777" w:rsidR="00937B9C" w:rsidRPr="00A219DB" w:rsidRDefault="00937B9C" w:rsidP="00937B9C">
      <w:pPr>
        <w:pStyle w:val="a4"/>
        <w:spacing w:after="0"/>
        <w:ind w:left="1134" w:right="567"/>
        <w:rPr>
          <w:rFonts w:ascii="Times New Roman" w:hAnsi="Times New Roman"/>
          <w:b/>
          <w:i/>
          <w:sz w:val="24"/>
          <w:szCs w:val="24"/>
          <w:lang w:val="ro-MD" w:eastAsia="en-US"/>
        </w:rPr>
      </w:pPr>
    </w:p>
    <w:p w14:paraId="2B053A79" w14:textId="77777777" w:rsidR="00937B9C" w:rsidRPr="00A219DB" w:rsidRDefault="00937B9C" w:rsidP="00937B9C">
      <w:pPr>
        <w:tabs>
          <w:tab w:val="left" w:pos="1995"/>
        </w:tabs>
        <w:ind w:right="-2" w:firstLine="567"/>
        <w:jc w:val="both"/>
        <w:rPr>
          <w:rFonts w:ascii="Times New Roman"/>
          <w:sz w:val="24"/>
          <w:szCs w:val="24"/>
          <w:lang w:val="ro-MD"/>
        </w:rPr>
      </w:pPr>
      <w:r w:rsidRPr="00A219DB">
        <w:rPr>
          <w:rFonts w:ascii="Times New Roman"/>
          <w:sz w:val="24"/>
          <w:szCs w:val="24"/>
          <w:lang w:val="ro-MD"/>
        </w:rPr>
        <w:t>Rata de varia</w:t>
      </w:r>
      <w:r w:rsidRPr="00A219DB">
        <w:rPr>
          <w:rFonts w:ascii="Times New Roman"/>
          <w:sz w:val="24"/>
          <w:szCs w:val="24"/>
          <w:lang w:val="ro-MD"/>
        </w:rPr>
        <w:t>ț</w:t>
      </w:r>
      <w:r w:rsidRPr="00A219DB">
        <w:rPr>
          <w:rFonts w:ascii="Times New Roman"/>
          <w:sz w:val="24"/>
          <w:szCs w:val="24"/>
          <w:lang w:val="ro-MD"/>
        </w:rPr>
        <w:t>ie a stocului de cauze pendinte, este un indicator conex duratei lichid</w:t>
      </w:r>
      <w:r w:rsidRPr="00A219DB">
        <w:rPr>
          <w:rFonts w:ascii="Times New Roman"/>
          <w:sz w:val="24"/>
          <w:szCs w:val="24"/>
          <w:lang w:val="ro-MD"/>
        </w:rPr>
        <w:t>ă</w:t>
      </w:r>
      <w:r w:rsidRPr="00A219DB">
        <w:rPr>
          <w:rFonts w:ascii="Times New Roman"/>
          <w:sz w:val="24"/>
          <w:szCs w:val="24"/>
          <w:lang w:val="ro-MD"/>
        </w:rPr>
        <w:t xml:space="preserve">rii stocului de cauze pendinte, </w:t>
      </w:r>
      <w:r w:rsidRPr="00A219DB">
        <w:rPr>
          <w:rFonts w:ascii="Times New Roman"/>
          <w:sz w:val="24"/>
          <w:szCs w:val="24"/>
          <w:lang w:val="ro-MD"/>
        </w:rPr>
        <w:t>ș</w:t>
      </w:r>
      <w:r w:rsidRPr="00A219DB">
        <w:rPr>
          <w:rFonts w:ascii="Times New Roman"/>
          <w:sz w:val="24"/>
          <w:szCs w:val="24"/>
          <w:lang w:val="ro-MD"/>
        </w:rPr>
        <w:t>i se prezint</w:t>
      </w:r>
      <w:r w:rsidRPr="00A219DB">
        <w:rPr>
          <w:rFonts w:ascii="Times New Roman"/>
          <w:sz w:val="24"/>
          <w:szCs w:val="24"/>
          <w:lang w:val="ro-MD"/>
        </w:rPr>
        <w:t>ă</w:t>
      </w:r>
      <w:r w:rsidRPr="00A219DB">
        <w:rPr>
          <w:rFonts w:ascii="Times New Roman"/>
          <w:sz w:val="24"/>
          <w:szCs w:val="24"/>
          <w:lang w:val="ro-MD"/>
        </w:rPr>
        <w:t xml:space="preserve"> </w:t>
      </w:r>
      <w:r w:rsidRPr="00A219DB">
        <w:rPr>
          <w:rFonts w:ascii="Times New Roman"/>
          <w:sz w:val="24"/>
          <w:szCs w:val="24"/>
          <w:lang w:val="ro-MD"/>
        </w:rPr>
        <w:t>î</w:t>
      </w:r>
      <w:r w:rsidRPr="00A219DB">
        <w:rPr>
          <w:rFonts w:ascii="Times New Roman"/>
          <w:sz w:val="24"/>
          <w:szCs w:val="24"/>
          <w:lang w:val="ro-MD"/>
        </w:rPr>
        <w:t>n anul 2020 cu 97 % o tendin</w:t>
      </w:r>
      <w:r w:rsidRPr="00A219DB">
        <w:rPr>
          <w:rFonts w:ascii="Times New Roman"/>
          <w:sz w:val="24"/>
          <w:szCs w:val="24"/>
          <w:lang w:val="ro-MD"/>
        </w:rPr>
        <w:t>ță</w:t>
      </w:r>
      <w:r w:rsidRPr="00A219DB">
        <w:rPr>
          <w:rFonts w:ascii="Times New Roman"/>
          <w:sz w:val="24"/>
          <w:szCs w:val="24"/>
          <w:lang w:val="ro-MD"/>
        </w:rPr>
        <w:t xml:space="preserve"> bun</w:t>
      </w:r>
      <w:r w:rsidRPr="00A219DB">
        <w:rPr>
          <w:rFonts w:ascii="Times New Roman"/>
          <w:sz w:val="24"/>
          <w:szCs w:val="24"/>
          <w:lang w:val="ro-MD"/>
        </w:rPr>
        <w:t>ă</w:t>
      </w:r>
      <w:r w:rsidRPr="00A219DB">
        <w:rPr>
          <w:rFonts w:ascii="Times New Roman"/>
          <w:sz w:val="24"/>
          <w:szCs w:val="24"/>
          <w:lang w:val="ro-MD"/>
        </w:rPr>
        <w:t>, pu</w:t>
      </w:r>
      <w:r w:rsidRPr="00A219DB">
        <w:rPr>
          <w:rFonts w:ascii="Times New Roman"/>
          <w:sz w:val="24"/>
          <w:szCs w:val="24"/>
          <w:lang w:val="ro-MD"/>
        </w:rPr>
        <w:t>ț</w:t>
      </w:r>
      <w:r w:rsidRPr="00A219DB">
        <w:rPr>
          <w:rFonts w:ascii="Times New Roman"/>
          <w:sz w:val="24"/>
          <w:szCs w:val="24"/>
          <w:lang w:val="ro-MD"/>
        </w:rPr>
        <w:t xml:space="preserve">in </w:t>
      </w:r>
      <w:r w:rsidRPr="00A219DB">
        <w:rPr>
          <w:rFonts w:ascii="Times New Roman"/>
          <w:sz w:val="24"/>
          <w:szCs w:val="24"/>
          <w:lang w:val="ro-MD"/>
        </w:rPr>
        <w:t>î</w:t>
      </w:r>
      <w:r w:rsidRPr="00A219DB">
        <w:rPr>
          <w:rFonts w:ascii="Times New Roman"/>
          <w:sz w:val="24"/>
          <w:szCs w:val="24"/>
          <w:lang w:val="ro-MD"/>
        </w:rPr>
        <w:t>n descre</w:t>
      </w:r>
      <w:r w:rsidRPr="00A219DB">
        <w:rPr>
          <w:rFonts w:ascii="Times New Roman"/>
          <w:sz w:val="24"/>
          <w:szCs w:val="24"/>
          <w:lang w:val="ro-MD"/>
        </w:rPr>
        <w:t>ș</w:t>
      </w:r>
      <w:r w:rsidRPr="00A219DB">
        <w:rPr>
          <w:rFonts w:ascii="Times New Roman"/>
          <w:sz w:val="24"/>
          <w:szCs w:val="24"/>
          <w:lang w:val="ro-MD"/>
        </w:rPr>
        <w:t xml:space="preserve">tere comparativ cu anul 2019 care a constituit 100 %, </w:t>
      </w:r>
    </w:p>
    <w:p w14:paraId="25D2998F" w14:textId="77777777" w:rsidR="00937B9C" w:rsidRPr="00A219DB" w:rsidRDefault="00937B9C" w:rsidP="00937B9C">
      <w:pPr>
        <w:pStyle w:val="a8"/>
        <w:tabs>
          <w:tab w:val="left" w:pos="1995"/>
        </w:tabs>
        <w:ind w:left="0" w:right="-2" w:firstLine="567"/>
        <w:jc w:val="center"/>
        <w:outlineLvl w:val="0"/>
        <w:rPr>
          <w:rFonts w:ascii="Times New Roman"/>
          <w:b/>
          <w:sz w:val="28"/>
          <w:szCs w:val="28"/>
          <w:lang w:val="ro-MD"/>
        </w:rPr>
      </w:pPr>
      <w:r w:rsidRPr="00A219DB">
        <w:rPr>
          <w:rFonts w:ascii="Times New Roman"/>
          <w:b/>
          <w:sz w:val="28"/>
          <w:szCs w:val="28"/>
          <w:lang w:val="ro-MD"/>
        </w:rPr>
        <w:t>Rata deciziilor atacate cu apel/recurs și rata deciziilor modificate sau anulate</w:t>
      </w:r>
    </w:p>
    <w:p w14:paraId="619CADCD" w14:textId="77777777" w:rsidR="00937B9C" w:rsidRDefault="00937B9C" w:rsidP="00937B9C">
      <w:pPr>
        <w:pStyle w:val="a8"/>
        <w:tabs>
          <w:tab w:val="left" w:pos="0"/>
        </w:tabs>
        <w:spacing w:after="0"/>
        <w:ind w:left="0" w:right="-2"/>
        <w:jc w:val="both"/>
        <w:outlineLvl w:val="0"/>
        <w:rPr>
          <w:rFonts w:ascii="Times New Roman"/>
          <w:sz w:val="24"/>
          <w:szCs w:val="24"/>
          <w:lang w:val="ro-MD"/>
        </w:rPr>
      </w:pPr>
    </w:p>
    <w:p w14:paraId="56BAB8C9" w14:textId="77777777" w:rsidR="00937B9C" w:rsidRDefault="00937B9C" w:rsidP="00937B9C">
      <w:pPr>
        <w:pStyle w:val="a8"/>
        <w:tabs>
          <w:tab w:val="left" w:pos="0"/>
        </w:tabs>
        <w:spacing w:after="0"/>
        <w:ind w:left="0" w:right="-2" w:firstLine="567"/>
        <w:jc w:val="both"/>
        <w:outlineLvl w:val="0"/>
        <w:rPr>
          <w:rFonts w:ascii="Times New Roman"/>
          <w:sz w:val="24"/>
          <w:szCs w:val="24"/>
          <w:lang w:val="ro-MD"/>
        </w:rPr>
      </w:pPr>
      <w:r w:rsidRPr="00A219DB">
        <w:rPr>
          <w:rFonts w:ascii="Times New Roman"/>
          <w:sz w:val="24"/>
          <w:szCs w:val="24"/>
          <w:lang w:val="ro-MD"/>
        </w:rPr>
        <w:t>Evaluarea calității deciziilor Curții de Apel Cahul prin raportul hotărârilor anulate sau modificate de instanța ierarhic superioară în comparație cu numărul total de hotărâri emise, se prezentată în următorul tabel</w:t>
      </w:r>
      <w:r>
        <w:rPr>
          <w:rFonts w:ascii="Times New Roman"/>
          <w:sz w:val="24"/>
          <w:szCs w:val="24"/>
          <w:lang w:val="ro-MD"/>
        </w:rPr>
        <w:t>.</w:t>
      </w:r>
    </w:p>
    <w:p w14:paraId="178A7CE3" w14:textId="77777777" w:rsidR="00937B9C" w:rsidRDefault="00937B9C" w:rsidP="00937B9C">
      <w:pPr>
        <w:pStyle w:val="a8"/>
        <w:tabs>
          <w:tab w:val="left" w:pos="0"/>
        </w:tabs>
        <w:spacing w:after="0"/>
        <w:ind w:left="0" w:right="-2" w:firstLine="567"/>
        <w:jc w:val="both"/>
        <w:outlineLvl w:val="0"/>
        <w:rPr>
          <w:rFonts w:ascii="Times New Roman"/>
          <w:sz w:val="24"/>
          <w:szCs w:val="24"/>
          <w:lang w:val="ro-MD"/>
        </w:rPr>
      </w:pPr>
    </w:p>
    <w:p w14:paraId="0971D447" w14:textId="785C620D" w:rsidR="00937B9C" w:rsidRPr="00937B9C" w:rsidRDefault="00937B9C" w:rsidP="00937B9C">
      <w:pPr>
        <w:pStyle w:val="a8"/>
        <w:tabs>
          <w:tab w:val="left" w:pos="0"/>
        </w:tabs>
        <w:spacing w:after="0"/>
        <w:ind w:left="0" w:right="-2" w:firstLine="567"/>
        <w:jc w:val="both"/>
        <w:outlineLvl w:val="0"/>
        <w:rPr>
          <w:rFonts w:ascii="Times New Roman"/>
          <w:sz w:val="24"/>
          <w:szCs w:val="24"/>
          <w:lang w:val="ro-MD"/>
        </w:rPr>
      </w:pPr>
      <w:r w:rsidRPr="005B10E3">
        <w:rPr>
          <w:rFonts w:ascii="Times New Roman"/>
          <w:b/>
          <w:bCs/>
          <w:i/>
          <w:sz w:val="24"/>
          <w:szCs w:val="24"/>
          <w:lang w:val="ro-MD"/>
        </w:rPr>
        <w:t>Tabelul nr.12: Rata deciziilor atacate cu apel/recurs și celor modificate sau anulate pentru toate tipurile de cauze</w:t>
      </w:r>
    </w:p>
    <w:p w14:paraId="2E6C9B85" w14:textId="0B2A8882" w:rsidR="00937B9C" w:rsidRPr="00937B9C" w:rsidRDefault="00937B9C" w:rsidP="00937B9C">
      <w:pPr>
        <w:pStyle w:val="a4"/>
        <w:spacing w:after="0"/>
        <w:ind w:left="1134" w:right="567"/>
        <w:rPr>
          <w:rFonts w:ascii="Times New Roman" w:hAnsi="Times New Roman"/>
          <w:i/>
          <w:sz w:val="24"/>
          <w:szCs w:val="24"/>
          <w:lang w:val="ro-MD" w:eastAsia="en-US"/>
        </w:rPr>
      </w:pPr>
      <w:r w:rsidRPr="00A219DB">
        <w:rPr>
          <w:rFonts w:ascii="Times New Roman" w:hAnsi="Times New Roman"/>
          <w:i/>
          <w:noProof/>
          <w:sz w:val="24"/>
          <w:szCs w:val="24"/>
          <w:lang w:val="ru-RU" w:eastAsia="ru-RU"/>
        </w:rPr>
        <w:drawing>
          <wp:inline distT="0" distB="0" distL="0" distR="0" wp14:anchorId="0E1DBC6F" wp14:editId="613CE64F">
            <wp:extent cx="5789930" cy="3228975"/>
            <wp:effectExtent l="0" t="0" r="1270" b="952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7"/>
                    <pic:cNvPicPr>
                      <a:picLocks noChangeArrowheads="1"/>
                    </pic:cNvPicPr>
                  </pic:nvPicPr>
                  <pic:blipFill>
                    <a:blip r:embed="rId11">
                      <a:extLst>
                        <a:ext uri="{28A0092B-C50C-407E-A947-70E740481C1C}">
                          <a14:useLocalDpi xmlns:a14="http://schemas.microsoft.com/office/drawing/2010/main" val="0"/>
                        </a:ext>
                      </a:extLst>
                    </a:blip>
                    <a:srcRect l="-2510" t="-4588" r="-409" b="-563"/>
                    <a:stretch>
                      <a:fillRect/>
                    </a:stretch>
                  </pic:blipFill>
                  <pic:spPr bwMode="auto">
                    <a:xfrm>
                      <a:off x="0" y="0"/>
                      <a:ext cx="5789930" cy="3228975"/>
                    </a:xfrm>
                    <a:prstGeom prst="rect">
                      <a:avLst/>
                    </a:prstGeom>
                    <a:noFill/>
                    <a:ln>
                      <a:noFill/>
                    </a:ln>
                  </pic:spPr>
                </pic:pic>
              </a:graphicData>
            </a:graphic>
          </wp:inline>
        </w:drawing>
      </w:r>
    </w:p>
    <w:p w14:paraId="66669B58" w14:textId="77777777" w:rsidR="00FD1A97" w:rsidRDefault="00937B9C" w:rsidP="00347C4C">
      <w:pPr>
        <w:pStyle w:val="a7"/>
        <w:rPr>
          <w:color w:val="C00000"/>
        </w:rPr>
      </w:pPr>
      <w:r w:rsidRPr="00A219DB">
        <w:t>Rata deciziilor Curţii de Apel Cahul atacate cu apel/recurs, indică un procentaj de 17,1 % în anul        2020, ușor în scădere față de anul 2018 (20,6%) și 2019 (20,2%).</w:t>
      </w:r>
      <w:r w:rsidRPr="00A219DB">
        <w:rPr>
          <w:color w:val="C00000"/>
        </w:rPr>
        <w:t xml:space="preserve"> </w:t>
      </w:r>
    </w:p>
    <w:p w14:paraId="1954D73C" w14:textId="2CBE0BD2" w:rsidR="00937B9C" w:rsidRDefault="00937B9C" w:rsidP="00347C4C">
      <w:pPr>
        <w:pStyle w:val="a7"/>
      </w:pPr>
      <w:r w:rsidRPr="00A219DB">
        <w:t xml:space="preserve">Referitor la rata </w:t>
      </w:r>
      <w:r w:rsidRPr="00A219DB">
        <w:rPr>
          <w:u w:val="single"/>
        </w:rPr>
        <w:t>deciziilor modificate și anulate</w:t>
      </w:r>
      <w:r w:rsidRPr="00A219DB">
        <w:t xml:space="preserve"> în anul 2020 este de 4,6 % în scădere față</w:t>
      </w:r>
      <w:r>
        <w:t xml:space="preserve"> </w:t>
      </w:r>
      <w:r w:rsidRPr="00A219DB">
        <w:t xml:space="preserve">de anul 2019 (4,7%). </w:t>
      </w:r>
    </w:p>
    <w:p w14:paraId="30AD87AE" w14:textId="77777777" w:rsidR="00EA6C18" w:rsidRPr="005B10E3" w:rsidRDefault="00EA6C18" w:rsidP="00EA6C18">
      <w:pPr>
        <w:pStyle w:val="a4"/>
        <w:spacing w:after="0"/>
        <w:ind w:firstLine="567"/>
        <w:jc w:val="center"/>
        <w:rPr>
          <w:rFonts w:ascii="Times New Roman" w:hAnsi="Times New Roman"/>
          <w:b/>
          <w:bCs/>
          <w:i/>
          <w:sz w:val="24"/>
          <w:szCs w:val="24"/>
          <w:lang w:val="ro-MD" w:eastAsia="en-US"/>
        </w:rPr>
      </w:pPr>
      <w:r w:rsidRPr="005B10E3">
        <w:rPr>
          <w:rFonts w:ascii="Times New Roman" w:hAnsi="Times New Roman"/>
          <w:b/>
          <w:bCs/>
          <w:i/>
          <w:sz w:val="24"/>
          <w:szCs w:val="24"/>
          <w:lang w:val="ro-MD" w:eastAsia="en-US"/>
        </w:rPr>
        <w:lastRenderedPageBreak/>
        <w:t>Tabelul nr.13: Rata deciziilor atacate cu apel/recurs și celor modificate sau anulate pentru cauze civile</w:t>
      </w:r>
    </w:p>
    <w:p w14:paraId="11D843CB" w14:textId="77777777" w:rsidR="00EA6C18" w:rsidRPr="00EA6C18" w:rsidRDefault="00EA6C18" w:rsidP="00EA6C18">
      <w:pPr>
        <w:pStyle w:val="a4"/>
        <w:rPr>
          <w:lang w:val="ro-MD" w:eastAsia="en-US"/>
        </w:rPr>
      </w:pPr>
    </w:p>
    <w:p w14:paraId="02A0F779" w14:textId="56D4CF0C" w:rsidR="00937B9C" w:rsidRPr="00A219DB" w:rsidRDefault="00EA6C18" w:rsidP="00937B9C">
      <w:pPr>
        <w:tabs>
          <w:tab w:val="left" w:pos="1995"/>
        </w:tabs>
        <w:ind w:right="-2" w:firstLine="567"/>
        <w:jc w:val="both"/>
        <w:rPr>
          <w:rFonts w:ascii="Times New Roman"/>
          <w:sz w:val="24"/>
          <w:szCs w:val="24"/>
          <w:lang w:val="ro-MD"/>
        </w:rPr>
      </w:pPr>
      <w:r>
        <w:rPr>
          <w:noProof/>
          <w:lang w:val="ru-RU" w:eastAsia="ru-RU"/>
        </w:rPr>
        <w:drawing>
          <wp:inline distT="0" distB="0" distL="0" distR="0" wp14:anchorId="3D17E33D" wp14:editId="1AE6E5B0">
            <wp:extent cx="5924550" cy="3238500"/>
            <wp:effectExtent l="0" t="0" r="0" b="0"/>
            <wp:docPr id="1" name="Диаграмма 1">
              <a:extLst xmlns:a="http://schemas.openxmlformats.org/drawingml/2006/main">
                <a:ext uri="{FF2B5EF4-FFF2-40B4-BE49-F238E27FC236}">
                  <a16:creationId xmlns:a16="http://schemas.microsoft.com/office/drawing/2014/main" id="{00000000-0008-0000-0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428351" w14:textId="77777777" w:rsidR="00937B9C" w:rsidRPr="00A219DB" w:rsidRDefault="00937B9C" w:rsidP="00937B9C">
      <w:pPr>
        <w:tabs>
          <w:tab w:val="left" w:pos="1995"/>
        </w:tabs>
        <w:ind w:left="1134" w:right="567" w:firstLine="567"/>
        <w:jc w:val="both"/>
        <w:rPr>
          <w:rFonts w:ascii="Times New Roman"/>
          <w:sz w:val="24"/>
          <w:szCs w:val="24"/>
          <w:lang w:val="ro-MD"/>
        </w:rPr>
      </w:pPr>
    </w:p>
    <w:p w14:paraId="577199D3" w14:textId="77777777" w:rsidR="00EA6C18" w:rsidRPr="005B10E3" w:rsidRDefault="00EA6C18" w:rsidP="00EA6C18">
      <w:pPr>
        <w:pStyle w:val="a4"/>
        <w:spacing w:after="0"/>
        <w:jc w:val="center"/>
        <w:rPr>
          <w:rFonts w:ascii="Times New Roman" w:hAnsi="Times New Roman"/>
          <w:b/>
          <w:bCs/>
          <w:i/>
          <w:sz w:val="24"/>
          <w:szCs w:val="24"/>
          <w:lang w:val="ro-MD" w:eastAsia="en-US"/>
        </w:rPr>
      </w:pPr>
      <w:r w:rsidRPr="005B10E3">
        <w:rPr>
          <w:rFonts w:ascii="Times New Roman" w:hAnsi="Times New Roman"/>
          <w:b/>
          <w:bCs/>
          <w:i/>
          <w:sz w:val="24"/>
          <w:szCs w:val="24"/>
          <w:lang w:val="ro-MD" w:eastAsia="en-US"/>
        </w:rPr>
        <w:t>Tabelul nr.14: Rata deciziilor atacate cu apel/recurs și celor modificate sau anulate pentru cauze penale</w:t>
      </w:r>
    </w:p>
    <w:p w14:paraId="3C272984" w14:textId="77777777" w:rsidR="00EA6C18" w:rsidRPr="00A219DB" w:rsidRDefault="00EA6C18" w:rsidP="00EA6C18">
      <w:pPr>
        <w:pStyle w:val="a4"/>
        <w:spacing w:after="0"/>
        <w:jc w:val="center"/>
        <w:rPr>
          <w:rFonts w:ascii="Times New Roman" w:hAnsi="Times New Roman"/>
          <w:i/>
          <w:sz w:val="24"/>
          <w:szCs w:val="24"/>
          <w:lang w:val="ro-MD" w:eastAsia="en-US"/>
        </w:rPr>
      </w:pPr>
    </w:p>
    <w:p w14:paraId="45707C14" w14:textId="1F5B597A" w:rsidR="00EA6C18" w:rsidRPr="00A219DB" w:rsidRDefault="00EA6C18" w:rsidP="00EA6C18">
      <w:pPr>
        <w:pStyle w:val="a4"/>
        <w:tabs>
          <w:tab w:val="left" w:pos="12333"/>
        </w:tabs>
        <w:spacing w:after="0" w:line="276" w:lineRule="auto"/>
        <w:ind w:left="1134" w:right="567"/>
        <w:jc w:val="both"/>
        <w:rPr>
          <w:rFonts w:ascii="Times New Roman" w:hAnsi="Times New Roman"/>
          <w:sz w:val="24"/>
          <w:szCs w:val="24"/>
          <w:lang w:val="ro-MD"/>
        </w:rPr>
      </w:pPr>
      <w:r>
        <w:rPr>
          <w:noProof/>
          <w:lang w:val="ru-RU" w:eastAsia="ru-RU"/>
        </w:rPr>
        <w:drawing>
          <wp:inline distT="0" distB="0" distL="0" distR="0" wp14:anchorId="0E84658E" wp14:editId="4609088A">
            <wp:extent cx="5505450" cy="2828925"/>
            <wp:effectExtent l="0" t="0" r="0" b="0"/>
            <wp:docPr id="16" name="Диаграмма 16">
              <a:extLst xmlns:a="http://schemas.openxmlformats.org/drawingml/2006/main">
                <a:ext uri="{FF2B5EF4-FFF2-40B4-BE49-F238E27FC236}">
                  <a16:creationId xmlns:a16="http://schemas.microsoft.com/office/drawing/2014/main" id="{00000000-0008-0000-0600-00007F0C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34E10F" w14:textId="060FB1F2" w:rsidR="00EA6C18" w:rsidRDefault="00EA6C18" w:rsidP="00EA6C18">
      <w:pPr>
        <w:pStyle w:val="a4"/>
        <w:tabs>
          <w:tab w:val="left" w:pos="12333"/>
        </w:tabs>
        <w:spacing w:after="0" w:line="276" w:lineRule="auto"/>
        <w:ind w:right="-2" w:firstLine="567"/>
        <w:jc w:val="both"/>
        <w:rPr>
          <w:rFonts w:ascii="Times New Roman" w:hAnsi="Times New Roman"/>
          <w:sz w:val="24"/>
          <w:szCs w:val="24"/>
          <w:lang w:val="ro-MD"/>
        </w:rPr>
      </w:pPr>
      <w:r w:rsidRPr="00A219DB">
        <w:rPr>
          <w:rFonts w:ascii="Times New Roman" w:hAnsi="Times New Roman"/>
          <w:sz w:val="24"/>
          <w:szCs w:val="24"/>
          <w:lang w:val="ro-MD"/>
        </w:rPr>
        <w:t xml:space="preserve"> </w:t>
      </w:r>
      <w:r>
        <w:rPr>
          <w:rFonts w:ascii="Times New Roman" w:hAnsi="Times New Roman"/>
          <w:sz w:val="24"/>
          <w:szCs w:val="24"/>
          <w:lang w:val="ro-MD"/>
        </w:rPr>
        <w:tab/>
        <w:t xml:space="preserve">               </w:t>
      </w:r>
      <w:r w:rsidRPr="00A219DB">
        <w:rPr>
          <w:rFonts w:ascii="Times New Roman" w:hAnsi="Times New Roman"/>
          <w:sz w:val="24"/>
          <w:szCs w:val="24"/>
          <w:lang w:val="ro-MD"/>
        </w:rPr>
        <w:t xml:space="preserve">Astfel observăm și la cauzele per categorii penale și civile că rata deciziilor Curții de Apel Cahul atacate cu apel/recurs, indică un procentaj în scădere la penale de la 32,8 % în anul 2018 la 15,2 % în anul 2020 iar deciziile modificate sau anulate de la 7,4% în anul 2018 la 1,9 % în anul 2020. </w:t>
      </w:r>
    </w:p>
    <w:p w14:paraId="1236DB28" w14:textId="77777777" w:rsidR="00EA6C18" w:rsidRDefault="00EA6C18" w:rsidP="00EA6C18">
      <w:pPr>
        <w:pStyle w:val="a4"/>
        <w:tabs>
          <w:tab w:val="left" w:pos="12333"/>
        </w:tabs>
        <w:spacing w:after="0" w:line="276" w:lineRule="auto"/>
        <w:ind w:right="-2" w:firstLine="567"/>
        <w:jc w:val="both"/>
        <w:rPr>
          <w:rFonts w:ascii="Times New Roman" w:hAnsi="Times New Roman"/>
          <w:sz w:val="24"/>
          <w:szCs w:val="24"/>
          <w:lang w:val="ro-MD"/>
        </w:rPr>
      </w:pPr>
      <w:r w:rsidRPr="00A219DB">
        <w:rPr>
          <w:rFonts w:ascii="Times New Roman" w:hAnsi="Times New Roman"/>
          <w:sz w:val="24"/>
          <w:szCs w:val="24"/>
          <w:lang w:val="ro-MD"/>
        </w:rPr>
        <w:t xml:space="preserve">Respectiv și situația ratei deciziilor atacate cu apel/recurs a cauzelor civile ne indică o descreștere de la 19,45 în anul 2029 la 17,7 % în anul 2020 iar deciziile modificate sau anulate a cauzelor civile de la 5,6% în anul 2018 la 5,2% în anul 2020.  </w:t>
      </w:r>
    </w:p>
    <w:p w14:paraId="2A75B9AA" w14:textId="32C0317A" w:rsidR="00EA6C18" w:rsidRPr="00A219DB" w:rsidRDefault="00EA6C18" w:rsidP="00EA6C18">
      <w:pPr>
        <w:pStyle w:val="a4"/>
        <w:tabs>
          <w:tab w:val="left" w:pos="12333"/>
        </w:tabs>
        <w:spacing w:after="0" w:line="276" w:lineRule="auto"/>
        <w:ind w:right="-2" w:firstLine="567"/>
        <w:jc w:val="both"/>
        <w:rPr>
          <w:rFonts w:ascii="Times New Roman" w:hAnsi="Times New Roman"/>
          <w:sz w:val="24"/>
          <w:szCs w:val="24"/>
          <w:lang w:val="ro-MD"/>
        </w:rPr>
      </w:pPr>
      <w:r w:rsidRPr="00A219DB">
        <w:rPr>
          <w:rFonts w:ascii="Times New Roman" w:hAnsi="Times New Roman"/>
          <w:sz w:val="24"/>
          <w:szCs w:val="24"/>
          <w:lang w:val="ro-MD"/>
        </w:rPr>
        <w:t>Respectiv, se observă o îmbunătățire a calității deciziilor instanței în anul 2020.</w:t>
      </w:r>
    </w:p>
    <w:p w14:paraId="01607352" w14:textId="77777777" w:rsidR="00EA6C18" w:rsidRPr="00A219DB" w:rsidRDefault="00EA6C18" w:rsidP="00EA6C18">
      <w:pPr>
        <w:pStyle w:val="a4"/>
        <w:tabs>
          <w:tab w:val="left" w:pos="12333"/>
        </w:tabs>
        <w:spacing w:after="0" w:line="276" w:lineRule="auto"/>
        <w:ind w:left="1134" w:right="567"/>
        <w:jc w:val="both"/>
        <w:rPr>
          <w:rFonts w:ascii="Times New Roman" w:hAnsi="Times New Roman"/>
          <w:sz w:val="24"/>
          <w:szCs w:val="24"/>
          <w:lang w:val="ro-MD"/>
        </w:rPr>
      </w:pPr>
    </w:p>
    <w:p w14:paraId="33061662" w14:textId="037648EA" w:rsidR="00347C4C" w:rsidRDefault="00347C4C" w:rsidP="00EA6C18">
      <w:pPr>
        <w:pStyle w:val="a4"/>
        <w:spacing w:after="0"/>
        <w:ind w:left="1134" w:right="567"/>
        <w:rPr>
          <w:rFonts w:ascii="Times New Roman" w:hAnsi="Times New Roman"/>
          <w:b/>
          <w:bCs/>
          <w:i/>
          <w:color w:val="FF0000"/>
          <w:sz w:val="24"/>
          <w:szCs w:val="24"/>
          <w:lang w:val="ro-MD" w:eastAsia="en-US"/>
        </w:rPr>
      </w:pPr>
    </w:p>
    <w:p w14:paraId="6BD7F8D8" w14:textId="57726D61" w:rsidR="007210B7" w:rsidRDefault="007210B7" w:rsidP="00EA6C18">
      <w:pPr>
        <w:pStyle w:val="a4"/>
        <w:spacing w:after="0"/>
        <w:ind w:left="1134" w:right="567"/>
        <w:rPr>
          <w:rFonts w:ascii="Times New Roman" w:hAnsi="Times New Roman"/>
          <w:b/>
          <w:bCs/>
          <w:i/>
          <w:color w:val="FF0000"/>
          <w:sz w:val="24"/>
          <w:szCs w:val="24"/>
          <w:lang w:val="ro-MD" w:eastAsia="en-US"/>
        </w:rPr>
      </w:pPr>
    </w:p>
    <w:p w14:paraId="5BDB0644" w14:textId="77777777" w:rsidR="007210B7" w:rsidRDefault="007210B7" w:rsidP="00EA6C18">
      <w:pPr>
        <w:pStyle w:val="a4"/>
        <w:spacing w:after="0"/>
        <w:ind w:left="1134" w:right="567"/>
        <w:rPr>
          <w:rFonts w:ascii="Times New Roman" w:hAnsi="Times New Roman"/>
          <w:b/>
          <w:bCs/>
          <w:i/>
          <w:color w:val="FF0000"/>
          <w:sz w:val="24"/>
          <w:szCs w:val="24"/>
          <w:lang w:val="ro-MD" w:eastAsia="en-US"/>
        </w:rPr>
      </w:pPr>
    </w:p>
    <w:p w14:paraId="6EB1A3F0" w14:textId="77777777" w:rsidR="00347C4C" w:rsidRPr="00A219DB" w:rsidRDefault="00347C4C" w:rsidP="00347C4C">
      <w:pPr>
        <w:pStyle w:val="a8"/>
        <w:tabs>
          <w:tab w:val="left" w:pos="1995"/>
        </w:tabs>
        <w:ind w:left="1134" w:right="567"/>
        <w:jc w:val="center"/>
        <w:rPr>
          <w:rFonts w:ascii="Times New Roman"/>
          <w:b/>
          <w:sz w:val="28"/>
          <w:szCs w:val="28"/>
          <w:lang w:val="ro-MD"/>
        </w:rPr>
      </w:pPr>
      <w:bookmarkStart w:id="1" w:name="_Hlk65059134"/>
      <w:r w:rsidRPr="00A219DB">
        <w:rPr>
          <w:rFonts w:ascii="Times New Roman"/>
          <w:b/>
          <w:sz w:val="28"/>
          <w:szCs w:val="28"/>
          <w:lang w:val="ro-MD"/>
        </w:rPr>
        <w:t>Sarcina medie în cadrul instanței</w:t>
      </w:r>
    </w:p>
    <w:p w14:paraId="2FEB2F5D" w14:textId="77777777" w:rsidR="00347C4C" w:rsidRPr="005B10E3" w:rsidRDefault="00347C4C" w:rsidP="00347C4C">
      <w:pPr>
        <w:pStyle w:val="a4"/>
        <w:spacing w:after="0"/>
        <w:ind w:left="1134" w:right="567"/>
        <w:rPr>
          <w:rFonts w:ascii="Times New Roman" w:hAnsi="Times New Roman"/>
          <w:b/>
          <w:bCs/>
          <w:i/>
          <w:sz w:val="24"/>
          <w:szCs w:val="24"/>
          <w:lang w:val="ro-MD" w:eastAsia="en-US"/>
        </w:rPr>
      </w:pPr>
      <w:r w:rsidRPr="005B10E3">
        <w:rPr>
          <w:rFonts w:ascii="Times New Roman" w:hAnsi="Times New Roman"/>
          <w:b/>
          <w:bCs/>
          <w:i/>
          <w:sz w:val="24"/>
          <w:szCs w:val="24"/>
          <w:lang w:val="ro-MD" w:eastAsia="en-US"/>
        </w:rPr>
        <w:t>Tabelul nr.1</w:t>
      </w:r>
      <w:r>
        <w:rPr>
          <w:rFonts w:ascii="Times New Roman" w:hAnsi="Times New Roman"/>
          <w:b/>
          <w:bCs/>
          <w:i/>
          <w:sz w:val="24"/>
          <w:szCs w:val="24"/>
          <w:lang w:val="ro-MD" w:eastAsia="en-US"/>
        </w:rPr>
        <w:t>5</w:t>
      </w:r>
      <w:r w:rsidRPr="005B10E3">
        <w:rPr>
          <w:rFonts w:ascii="Times New Roman" w:hAnsi="Times New Roman"/>
          <w:b/>
          <w:bCs/>
          <w:i/>
          <w:sz w:val="24"/>
          <w:szCs w:val="24"/>
          <w:lang w:val="ro-MD" w:eastAsia="en-US"/>
        </w:rPr>
        <w:t>: Indicatorii de productivitate medie și distribuire a resurselor umane.</w:t>
      </w:r>
    </w:p>
    <w:p w14:paraId="6C84E251" w14:textId="0B93F181" w:rsidR="00347C4C" w:rsidRPr="00A219DB" w:rsidRDefault="00347C4C" w:rsidP="00347C4C">
      <w:pPr>
        <w:pStyle w:val="a4"/>
        <w:spacing w:after="0"/>
        <w:ind w:left="709" w:right="567" w:hanging="142"/>
        <w:rPr>
          <w:rFonts w:ascii="Times New Roman" w:hAnsi="Times New Roman"/>
          <w:i/>
          <w:sz w:val="24"/>
          <w:szCs w:val="24"/>
          <w:lang w:val="ro-MD" w:eastAsia="en-US"/>
        </w:rPr>
      </w:pPr>
      <w:r w:rsidRPr="00A219DB">
        <w:rPr>
          <w:rFonts w:ascii="Times New Roman" w:hAnsi="Times New Roman"/>
          <w:i/>
          <w:noProof/>
          <w:sz w:val="24"/>
          <w:szCs w:val="24"/>
          <w:lang w:val="ru-RU" w:eastAsia="ru-RU"/>
        </w:rPr>
        <w:drawing>
          <wp:inline distT="0" distB="0" distL="0" distR="0" wp14:anchorId="2004AEC6" wp14:editId="0ABCBD1D">
            <wp:extent cx="6191250" cy="2886075"/>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4"/>
                    <pic:cNvPicPr>
                      <a:picLocks noChangeArrowheads="1"/>
                    </pic:cNvPicPr>
                  </pic:nvPicPr>
                  <pic:blipFill>
                    <a:blip r:embed="rId14">
                      <a:extLst>
                        <a:ext uri="{28A0092B-C50C-407E-A947-70E740481C1C}">
                          <a14:useLocalDpi xmlns:a14="http://schemas.microsoft.com/office/drawing/2010/main" val="0"/>
                        </a:ext>
                      </a:extLst>
                    </a:blip>
                    <a:srcRect l="-3728" t="-16446" r="-8888" b="-7848"/>
                    <a:stretch>
                      <a:fillRect/>
                    </a:stretch>
                  </pic:blipFill>
                  <pic:spPr bwMode="auto">
                    <a:xfrm>
                      <a:off x="0" y="0"/>
                      <a:ext cx="6191250" cy="2886075"/>
                    </a:xfrm>
                    <a:prstGeom prst="rect">
                      <a:avLst/>
                    </a:prstGeom>
                    <a:noFill/>
                    <a:ln>
                      <a:noFill/>
                    </a:ln>
                  </pic:spPr>
                </pic:pic>
              </a:graphicData>
            </a:graphic>
          </wp:inline>
        </w:drawing>
      </w:r>
    </w:p>
    <w:p w14:paraId="40EB2DF8" w14:textId="58A3E1F7" w:rsidR="00347C4C" w:rsidRPr="00A219DB" w:rsidRDefault="00347C4C" w:rsidP="00347C4C">
      <w:pPr>
        <w:pStyle w:val="a4"/>
        <w:spacing w:after="0"/>
        <w:ind w:left="1134" w:right="567"/>
        <w:rPr>
          <w:rFonts w:ascii="Times New Roman" w:hAnsi="Times New Roman"/>
          <w:i/>
          <w:sz w:val="24"/>
          <w:szCs w:val="24"/>
          <w:lang w:val="ro-MD" w:eastAsia="en-US"/>
        </w:rPr>
      </w:pPr>
    </w:p>
    <w:p w14:paraId="194F5657" w14:textId="77777777" w:rsidR="00347C4C" w:rsidRPr="00A219DB" w:rsidRDefault="00347C4C" w:rsidP="00347C4C">
      <w:pPr>
        <w:pStyle w:val="a4"/>
        <w:spacing w:after="0"/>
        <w:ind w:left="1134" w:right="567"/>
        <w:rPr>
          <w:rFonts w:ascii="Times New Roman" w:hAnsi="Times New Roman"/>
          <w:i/>
          <w:sz w:val="24"/>
          <w:szCs w:val="24"/>
          <w:lang w:val="ro-MD" w:eastAsia="en-US"/>
        </w:rPr>
      </w:pPr>
    </w:p>
    <w:p w14:paraId="1C38981D" w14:textId="77777777" w:rsidR="00347C4C" w:rsidRDefault="00347C4C" w:rsidP="00347C4C">
      <w:pPr>
        <w:pStyle w:val="a7"/>
      </w:pPr>
      <w:r w:rsidRPr="00A219DB">
        <w:t>Sarcina medie în anul 2020 a unui judecător care a activat la Curtea de Apel Cahul reprezintǎ 231 cauze din cauzele aflate în procedură și 202 cauze din cauzele soluționate, aceși indicatori fiind în creștere față de anul 2019.</w:t>
      </w:r>
    </w:p>
    <w:p w14:paraId="5808A46B" w14:textId="77777777" w:rsidR="00347C4C" w:rsidRDefault="00347C4C" w:rsidP="00347C4C">
      <w:pPr>
        <w:pStyle w:val="a7"/>
      </w:pPr>
      <w:r w:rsidRPr="00A219DB">
        <w:t>În privința productivității raportul angajat/cauze soluționate observăm în 2020 acest indicator se prezintǎ cu 49 cauze soluționate per angajat în creştere faţǎ de anul 2019.</w:t>
      </w:r>
      <w:r>
        <w:t xml:space="preserve"> </w:t>
      </w:r>
    </w:p>
    <w:p w14:paraId="0726A045" w14:textId="77777777" w:rsidR="00347C4C" w:rsidRDefault="00347C4C" w:rsidP="00347C4C">
      <w:pPr>
        <w:pStyle w:val="a7"/>
        <w:rPr>
          <w:rStyle w:val="a2f34182766ae448ea3ab12adbfeb8378392"/>
          <w:lang w:val="ro-MD"/>
        </w:rPr>
      </w:pPr>
      <w:r w:rsidRPr="00A219DB">
        <w:rPr>
          <w:rStyle w:val="a2f34182766ae448ea3ab12adbfeb8378392"/>
          <w:lang w:val="ro-MD"/>
        </w:rPr>
        <w:t>Eficiența instanței depinde de cantitatea și calitatea resurselor umane iar o repartizare corespunzătoare a personalului determina creșterea eficienței și a calității serviciilor judiciare.</w:t>
      </w:r>
    </w:p>
    <w:p w14:paraId="0A5F8281" w14:textId="4E50B21F" w:rsidR="00347C4C" w:rsidRDefault="00347C4C" w:rsidP="00347C4C">
      <w:pPr>
        <w:pStyle w:val="a7"/>
      </w:pPr>
      <w:r>
        <w:t>Î</w:t>
      </w:r>
      <w:r w:rsidRPr="00A219DB">
        <w:t xml:space="preserve">n schema de încadrare </w:t>
      </w:r>
      <w:r w:rsidRPr="00A219DB">
        <w:rPr>
          <w:rFonts w:cs="Calibri"/>
        </w:rPr>
        <w:t>î</w:t>
      </w:r>
      <w:r w:rsidRPr="00A219DB">
        <w:t>n perioada de gestiune a anului 2020 numărul de personal de 51,5 unități nu s-a modificat. Efectiv au activat 49,25 unități ce constituie 95,6 % din numărul unităților aprobate.</w:t>
      </w:r>
    </w:p>
    <w:p w14:paraId="08CE3CBC" w14:textId="6AFCBA3B" w:rsidR="00347C4C" w:rsidRDefault="00347C4C" w:rsidP="00347C4C">
      <w:pPr>
        <w:pStyle w:val="a4"/>
        <w:rPr>
          <w:lang w:val="ro-MD" w:eastAsia="en-US"/>
        </w:rPr>
      </w:pPr>
    </w:p>
    <w:p w14:paraId="2C0C9D8C" w14:textId="77777777" w:rsidR="00347C4C" w:rsidRPr="00347C4C" w:rsidRDefault="00347C4C" w:rsidP="00347C4C">
      <w:pPr>
        <w:pStyle w:val="a4"/>
        <w:rPr>
          <w:lang w:val="ro-MD" w:eastAsia="en-US"/>
        </w:rPr>
      </w:pPr>
    </w:p>
    <w:p w14:paraId="0D1E4BC9" w14:textId="22209AF3" w:rsidR="00347C4C" w:rsidRDefault="00347C4C" w:rsidP="00347C4C">
      <w:pPr>
        <w:pStyle w:val="a4"/>
        <w:spacing w:after="0"/>
        <w:ind w:left="1134" w:right="567"/>
        <w:rPr>
          <w:noProof/>
          <w:lang w:val="ro-MD" w:eastAsia="en-US"/>
        </w:rPr>
      </w:pPr>
    </w:p>
    <w:p w14:paraId="57E51273" w14:textId="0A01AC22" w:rsidR="007210B7" w:rsidRDefault="007210B7" w:rsidP="00347C4C">
      <w:pPr>
        <w:pStyle w:val="a4"/>
        <w:spacing w:after="0"/>
        <w:ind w:left="1134" w:right="567"/>
        <w:rPr>
          <w:noProof/>
          <w:lang w:val="ro-MD" w:eastAsia="en-US"/>
        </w:rPr>
      </w:pPr>
    </w:p>
    <w:p w14:paraId="7D354C78" w14:textId="00C399AC" w:rsidR="007210B7" w:rsidRDefault="007210B7" w:rsidP="00347C4C">
      <w:pPr>
        <w:pStyle w:val="a4"/>
        <w:spacing w:after="0"/>
        <w:ind w:left="1134" w:right="567"/>
        <w:rPr>
          <w:noProof/>
          <w:lang w:val="ro-MD" w:eastAsia="en-US"/>
        </w:rPr>
      </w:pPr>
    </w:p>
    <w:p w14:paraId="6AEB1B8C" w14:textId="588CAF50" w:rsidR="007210B7" w:rsidRDefault="007210B7" w:rsidP="00347C4C">
      <w:pPr>
        <w:pStyle w:val="a4"/>
        <w:spacing w:after="0"/>
        <w:ind w:left="1134" w:right="567"/>
        <w:rPr>
          <w:noProof/>
          <w:lang w:val="ro-MD" w:eastAsia="en-US"/>
        </w:rPr>
      </w:pPr>
    </w:p>
    <w:p w14:paraId="282E7332" w14:textId="1906048E" w:rsidR="007210B7" w:rsidRDefault="007210B7" w:rsidP="00347C4C">
      <w:pPr>
        <w:pStyle w:val="a4"/>
        <w:spacing w:after="0"/>
        <w:ind w:left="1134" w:right="567"/>
        <w:rPr>
          <w:noProof/>
          <w:lang w:val="ro-MD" w:eastAsia="en-US"/>
        </w:rPr>
      </w:pPr>
    </w:p>
    <w:p w14:paraId="16E988B1" w14:textId="182D9E42" w:rsidR="007210B7" w:rsidRDefault="007210B7" w:rsidP="00347C4C">
      <w:pPr>
        <w:pStyle w:val="a4"/>
        <w:spacing w:after="0"/>
        <w:ind w:left="1134" w:right="567"/>
        <w:rPr>
          <w:noProof/>
          <w:lang w:val="ro-MD" w:eastAsia="en-US"/>
        </w:rPr>
      </w:pPr>
    </w:p>
    <w:p w14:paraId="291D070B" w14:textId="59A40C42" w:rsidR="007210B7" w:rsidRDefault="007210B7" w:rsidP="00347C4C">
      <w:pPr>
        <w:pStyle w:val="a4"/>
        <w:spacing w:after="0"/>
        <w:ind w:left="1134" w:right="567"/>
        <w:rPr>
          <w:noProof/>
          <w:lang w:val="ro-MD" w:eastAsia="en-US"/>
        </w:rPr>
      </w:pPr>
    </w:p>
    <w:p w14:paraId="057722F6" w14:textId="4684E8D2" w:rsidR="007210B7" w:rsidRDefault="007210B7" w:rsidP="00347C4C">
      <w:pPr>
        <w:pStyle w:val="a4"/>
        <w:spacing w:after="0"/>
        <w:ind w:left="1134" w:right="567"/>
        <w:rPr>
          <w:noProof/>
          <w:lang w:val="ro-MD" w:eastAsia="en-US"/>
        </w:rPr>
      </w:pPr>
    </w:p>
    <w:p w14:paraId="73E495A1" w14:textId="234D3D6C" w:rsidR="007210B7" w:rsidRDefault="007210B7" w:rsidP="00347C4C">
      <w:pPr>
        <w:pStyle w:val="a4"/>
        <w:spacing w:after="0"/>
        <w:ind w:left="1134" w:right="567"/>
        <w:rPr>
          <w:noProof/>
          <w:lang w:val="ro-MD" w:eastAsia="en-US"/>
        </w:rPr>
      </w:pPr>
    </w:p>
    <w:p w14:paraId="653A1C7E" w14:textId="0163F9D3" w:rsidR="007210B7" w:rsidRDefault="007210B7" w:rsidP="00347C4C">
      <w:pPr>
        <w:pStyle w:val="a4"/>
        <w:spacing w:after="0"/>
        <w:ind w:left="1134" w:right="567"/>
        <w:rPr>
          <w:noProof/>
          <w:lang w:val="ro-MD" w:eastAsia="en-US"/>
        </w:rPr>
      </w:pPr>
    </w:p>
    <w:p w14:paraId="7373C447" w14:textId="3B3DD394" w:rsidR="007210B7" w:rsidRDefault="007210B7" w:rsidP="00347C4C">
      <w:pPr>
        <w:pStyle w:val="a4"/>
        <w:spacing w:after="0"/>
        <w:ind w:left="1134" w:right="567"/>
        <w:rPr>
          <w:noProof/>
          <w:lang w:val="ro-MD" w:eastAsia="en-US"/>
        </w:rPr>
      </w:pPr>
    </w:p>
    <w:p w14:paraId="4DEA967A" w14:textId="3B9BABA0" w:rsidR="007210B7" w:rsidRDefault="007210B7" w:rsidP="00347C4C">
      <w:pPr>
        <w:pStyle w:val="a4"/>
        <w:spacing w:after="0"/>
        <w:ind w:left="1134" w:right="567"/>
        <w:rPr>
          <w:noProof/>
          <w:lang w:val="ro-MD" w:eastAsia="en-US"/>
        </w:rPr>
      </w:pPr>
    </w:p>
    <w:p w14:paraId="5E13E2C7" w14:textId="3BEFDB56" w:rsidR="007210B7" w:rsidRDefault="007210B7" w:rsidP="00347C4C">
      <w:pPr>
        <w:pStyle w:val="a4"/>
        <w:spacing w:after="0"/>
        <w:ind w:left="1134" w:right="567"/>
        <w:rPr>
          <w:noProof/>
          <w:lang w:val="ro-MD" w:eastAsia="en-US"/>
        </w:rPr>
      </w:pPr>
    </w:p>
    <w:p w14:paraId="7BBE536C" w14:textId="4F9346A0" w:rsidR="007210B7" w:rsidRDefault="007210B7" w:rsidP="00347C4C">
      <w:pPr>
        <w:pStyle w:val="a4"/>
        <w:spacing w:after="0"/>
        <w:ind w:left="1134" w:right="567"/>
        <w:rPr>
          <w:noProof/>
          <w:lang w:val="ro-MD" w:eastAsia="en-US"/>
        </w:rPr>
      </w:pPr>
    </w:p>
    <w:p w14:paraId="600953A5" w14:textId="60DAD3E1" w:rsidR="007210B7" w:rsidRDefault="007210B7" w:rsidP="00347C4C">
      <w:pPr>
        <w:pStyle w:val="a4"/>
        <w:spacing w:after="0"/>
        <w:ind w:left="1134" w:right="567"/>
        <w:rPr>
          <w:noProof/>
          <w:lang w:val="ro-MD" w:eastAsia="en-US"/>
        </w:rPr>
      </w:pPr>
    </w:p>
    <w:p w14:paraId="45FF5101" w14:textId="6ED36D46" w:rsidR="007210B7" w:rsidRDefault="007210B7" w:rsidP="00347C4C">
      <w:pPr>
        <w:pStyle w:val="a4"/>
        <w:spacing w:after="0"/>
        <w:ind w:left="1134" w:right="567"/>
        <w:rPr>
          <w:noProof/>
          <w:lang w:val="ro-MD" w:eastAsia="en-US"/>
        </w:rPr>
      </w:pPr>
    </w:p>
    <w:p w14:paraId="4014156F" w14:textId="5D8718AB" w:rsidR="007210B7" w:rsidRDefault="007210B7" w:rsidP="00347C4C">
      <w:pPr>
        <w:pStyle w:val="a4"/>
        <w:spacing w:after="0"/>
        <w:ind w:left="1134" w:right="567"/>
        <w:rPr>
          <w:noProof/>
          <w:lang w:val="ro-MD" w:eastAsia="en-US"/>
        </w:rPr>
      </w:pPr>
    </w:p>
    <w:p w14:paraId="22CA2DB1" w14:textId="4147A369" w:rsidR="007210B7" w:rsidRDefault="007210B7" w:rsidP="00347C4C">
      <w:pPr>
        <w:pStyle w:val="a4"/>
        <w:spacing w:after="0"/>
        <w:ind w:left="1134" w:right="567"/>
        <w:rPr>
          <w:noProof/>
          <w:lang w:val="ro-MD" w:eastAsia="en-US"/>
        </w:rPr>
      </w:pPr>
    </w:p>
    <w:p w14:paraId="7454D140" w14:textId="74EC89D8" w:rsidR="007210B7" w:rsidRDefault="007210B7" w:rsidP="00347C4C">
      <w:pPr>
        <w:pStyle w:val="a4"/>
        <w:spacing w:after="0"/>
        <w:ind w:left="1134" w:right="567"/>
        <w:rPr>
          <w:noProof/>
          <w:lang w:val="ro-MD" w:eastAsia="en-US"/>
        </w:rPr>
      </w:pPr>
    </w:p>
    <w:p w14:paraId="31711E94" w14:textId="5BAED806" w:rsidR="007210B7" w:rsidRDefault="007210B7" w:rsidP="00347C4C">
      <w:pPr>
        <w:pStyle w:val="a4"/>
        <w:spacing w:after="0"/>
        <w:ind w:left="1134" w:right="567"/>
        <w:rPr>
          <w:noProof/>
          <w:lang w:val="ro-MD" w:eastAsia="en-US"/>
        </w:rPr>
      </w:pPr>
    </w:p>
    <w:p w14:paraId="5DA24A3A" w14:textId="36066A10" w:rsidR="007210B7" w:rsidRDefault="007210B7" w:rsidP="00347C4C">
      <w:pPr>
        <w:pStyle w:val="a4"/>
        <w:spacing w:after="0"/>
        <w:ind w:left="1134" w:right="567"/>
        <w:rPr>
          <w:noProof/>
          <w:lang w:val="ro-MD" w:eastAsia="en-US"/>
        </w:rPr>
      </w:pPr>
    </w:p>
    <w:p w14:paraId="2F1FBD3B" w14:textId="6FAB5CF8" w:rsidR="007210B7" w:rsidRDefault="007210B7" w:rsidP="00347C4C">
      <w:pPr>
        <w:pStyle w:val="a4"/>
        <w:spacing w:after="0"/>
        <w:ind w:left="1134" w:right="567"/>
        <w:rPr>
          <w:noProof/>
          <w:lang w:val="ro-MD" w:eastAsia="en-US"/>
        </w:rPr>
      </w:pPr>
    </w:p>
    <w:p w14:paraId="097FB603" w14:textId="77777777" w:rsidR="007210B7" w:rsidRDefault="007210B7" w:rsidP="00347C4C">
      <w:pPr>
        <w:pStyle w:val="a4"/>
        <w:spacing w:after="0"/>
        <w:ind w:left="1134" w:right="567"/>
        <w:rPr>
          <w:noProof/>
          <w:lang w:val="ro-MD" w:eastAsia="en-US"/>
        </w:rPr>
      </w:pPr>
    </w:p>
    <w:p w14:paraId="4801064F" w14:textId="77777777" w:rsidR="00347C4C" w:rsidRPr="005B10E3" w:rsidRDefault="00347C4C" w:rsidP="00347C4C">
      <w:pPr>
        <w:pStyle w:val="a4"/>
        <w:spacing w:after="0"/>
        <w:ind w:right="-2" w:firstLine="567"/>
        <w:jc w:val="center"/>
        <w:rPr>
          <w:rFonts w:ascii="Times New Roman" w:hAnsi="Times New Roman"/>
          <w:b/>
          <w:bCs/>
          <w:i/>
          <w:sz w:val="24"/>
          <w:szCs w:val="24"/>
          <w:lang w:val="ro-MD" w:eastAsia="en-US"/>
        </w:rPr>
      </w:pPr>
      <w:r w:rsidRPr="005B10E3">
        <w:rPr>
          <w:rFonts w:ascii="Times New Roman" w:hAnsi="Times New Roman"/>
          <w:b/>
          <w:bCs/>
          <w:i/>
          <w:sz w:val="24"/>
          <w:szCs w:val="24"/>
          <w:lang w:val="ro-MD" w:eastAsia="en-US"/>
        </w:rPr>
        <w:t>Tabelul nr.16: Indicatorii de productivitate medie și distribuire a resurselor umane.</w:t>
      </w:r>
    </w:p>
    <w:p w14:paraId="6A5BE3A2" w14:textId="77777777" w:rsidR="00347C4C" w:rsidRDefault="00347C4C" w:rsidP="00347C4C">
      <w:pPr>
        <w:pStyle w:val="a4"/>
        <w:spacing w:after="0"/>
        <w:ind w:left="1134" w:right="567"/>
        <w:rPr>
          <w:rFonts w:ascii="Times New Roman" w:hAnsi="Times New Roman"/>
          <w:i/>
          <w:sz w:val="24"/>
          <w:szCs w:val="24"/>
          <w:lang w:val="ro-MD" w:eastAsia="en-US"/>
        </w:rPr>
      </w:pPr>
    </w:p>
    <w:p w14:paraId="62389D02" w14:textId="77777777" w:rsidR="00347C4C" w:rsidRDefault="00347C4C" w:rsidP="00347C4C">
      <w:pPr>
        <w:pStyle w:val="a4"/>
        <w:spacing w:after="0"/>
        <w:ind w:left="1134" w:right="567"/>
        <w:rPr>
          <w:rFonts w:ascii="Times New Roman" w:hAnsi="Times New Roman"/>
          <w:i/>
          <w:sz w:val="24"/>
          <w:szCs w:val="24"/>
          <w:lang w:val="ro-MD" w:eastAsia="en-US"/>
        </w:rPr>
      </w:pPr>
    </w:p>
    <w:p w14:paraId="30EC49CB" w14:textId="6542CAE9" w:rsidR="00347C4C" w:rsidRPr="00A219DB" w:rsidRDefault="00347C4C" w:rsidP="00347C4C">
      <w:pPr>
        <w:pStyle w:val="a4"/>
        <w:spacing w:after="0"/>
        <w:ind w:left="1134" w:right="567"/>
        <w:rPr>
          <w:rFonts w:ascii="Times New Roman" w:hAnsi="Times New Roman"/>
          <w:i/>
          <w:sz w:val="24"/>
          <w:szCs w:val="24"/>
          <w:lang w:val="ro-MD" w:eastAsia="en-US"/>
        </w:rPr>
      </w:pPr>
      <w:r w:rsidRPr="00605CA5">
        <w:rPr>
          <w:noProof/>
          <w:lang w:val="ru-RU" w:eastAsia="ru-RU"/>
        </w:rPr>
        <w:drawing>
          <wp:inline distT="0" distB="0" distL="0" distR="0" wp14:anchorId="1D89BC14" wp14:editId="4F1E8184">
            <wp:extent cx="5848350" cy="3543300"/>
            <wp:effectExtent l="0" t="0" r="0" b="0"/>
            <wp:docPr id="20"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D7B215" w14:textId="77777777" w:rsidR="00347C4C" w:rsidRPr="00A219DB" w:rsidRDefault="00347C4C" w:rsidP="00347C4C">
      <w:pPr>
        <w:pStyle w:val="a4"/>
        <w:spacing w:after="0"/>
        <w:ind w:left="1134" w:right="567"/>
        <w:rPr>
          <w:rFonts w:ascii="Times New Roman" w:hAnsi="Times New Roman"/>
          <w:b/>
          <w:i/>
          <w:sz w:val="24"/>
          <w:szCs w:val="24"/>
          <w:lang w:val="ro-MD" w:eastAsia="en-US"/>
        </w:rPr>
      </w:pPr>
    </w:p>
    <w:p w14:paraId="34D7B874" w14:textId="77777777" w:rsidR="00347C4C" w:rsidRPr="00A219DB" w:rsidRDefault="00347C4C" w:rsidP="00347C4C">
      <w:pPr>
        <w:pStyle w:val="a7"/>
      </w:pPr>
    </w:p>
    <w:p w14:paraId="53E0BD2C" w14:textId="77777777" w:rsidR="00347C4C" w:rsidRDefault="00347C4C" w:rsidP="00347C4C">
      <w:pPr>
        <w:pStyle w:val="a7"/>
      </w:pPr>
      <w:r w:rsidRPr="00A219DB">
        <w:t>Rata asistenți judiciari și grefieri/ judecător ne indică o scădere mică</w:t>
      </w:r>
      <w:r>
        <w:t xml:space="preserve"> a suportului oferit judecăt</w:t>
      </w:r>
      <w:r w:rsidRPr="00A219DB">
        <w:t>orilor, astfel în anul 2020 indicatorul este de 1,92 (grefieri și asistenți judiciari per judecător), comparativ cu 2,04 în anul 2018 și 1,97 în anul 2019.</w:t>
      </w:r>
    </w:p>
    <w:p w14:paraId="2A965D64" w14:textId="20A923AD" w:rsidR="00347C4C" w:rsidRPr="00A219DB" w:rsidRDefault="00347C4C" w:rsidP="00347C4C">
      <w:pPr>
        <w:pStyle w:val="a7"/>
      </w:pPr>
      <w:r w:rsidRPr="00A219DB">
        <w:t>Pentru personalul non-judiciar tabelul ne indică în anul 2020 un număr de 2,22 (personal non-judiciar per judecător), mai mult ca în anul 2018, care ne indică 2,28, și 2,0 mai mic ca în anul 2019. Aceasta se explică prin fluxul cadrelor. Rata angajați per judecător ne indică 4,14 în anul 2020, mai mare comparativ cu anul 2019 și mai mic decît în anul 2018.</w:t>
      </w:r>
    </w:p>
    <w:bookmarkEnd w:id="1"/>
    <w:p w14:paraId="7EA877B1" w14:textId="77777777" w:rsidR="00347C4C" w:rsidRPr="00347C4C" w:rsidRDefault="00347C4C" w:rsidP="00347C4C">
      <w:pPr>
        <w:pStyle w:val="a4"/>
        <w:spacing w:after="0"/>
        <w:ind w:right="567"/>
        <w:rPr>
          <w:rFonts w:ascii="Times New Roman" w:hAnsi="Times New Roman"/>
          <w:b/>
          <w:bCs/>
          <w:i/>
          <w:color w:val="FF0000"/>
          <w:sz w:val="24"/>
          <w:szCs w:val="24"/>
          <w:lang w:val="ro-MD" w:eastAsia="en-US"/>
        </w:rPr>
      </w:pPr>
    </w:p>
    <w:p w14:paraId="605B768C" w14:textId="77777777" w:rsidR="00347C4C" w:rsidRPr="00A219DB" w:rsidRDefault="00347C4C" w:rsidP="00347C4C">
      <w:pPr>
        <w:pStyle w:val="a8"/>
        <w:tabs>
          <w:tab w:val="left" w:pos="1995"/>
        </w:tabs>
        <w:ind w:left="1134" w:right="567"/>
        <w:jc w:val="center"/>
        <w:rPr>
          <w:rFonts w:ascii="Times New Roman"/>
          <w:b/>
          <w:sz w:val="28"/>
          <w:szCs w:val="28"/>
          <w:lang w:val="ro-MD"/>
        </w:rPr>
      </w:pPr>
      <w:r w:rsidRPr="00A219DB">
        <w:rPr>
          <w:rFonts w:ascii="Times New Roman"/>
          <w:b/>
          <w:sz w:val="28"/>
          <w:szCs w:val="28"/>
          <w:lang w:val="ro-MD"/>
        </w:rPr>
        <w:t>Concluzii generale</w:t>
      </w:r>
    </w:p>
    <w:p w14:paraId="5B97E0BD" w14:textId="77777777" w:rsidR="00347C4C" w:rsidRDefault="00347C4C" w:rsidP="00347C4C">
      <w:pPr>
        <w:spacing w:after="0"/>
        <w:ind w:firstLine="567"/>
        <w:jc w:val="both"/>
        <w:rPr>
          <w:rFonts w:ascii="Times New Roman" w:hAnsi="Times New Roman"/>
          <w:sz w:val="24"/>
          <w:szCs w:val="24"/>
          <w:lang w:val="ro-RO"/>
        </w:rPr>
      </w:pPr>
      <w:r w:rsidRPr="00187663">
        <w:rPr>
          <w:rFonts w:ascii="Times New Roman" w:hAnsi="Times New Roman"/>
          <w:sz w:val="24"/>
          <w:szCs w:val="24"/>
          <w:lang w:val="ro-RO"/>
        </w:rPr>
        <w:t xml:space="preserve">La întocmirea raportului de activitate a Curții de Apel Cahul pentru 12 luni 2020 au fost implementate instrumente recomandate de Comisia Europeană pentru Eficiența Justiției ce țin de indicatorii de performanță referitor la </w:t>
      </w:r>
      <w:r w:rsidRPr="00187663">
        <w:rPr>
          <w:rFonts w:ascii="Times New Roman" w:hAnsi="Times New Roman"/>
          <w:b/>
          <w:sz w:val="24"/>
          <w:szCs w:val="24"/>
          <w:lang w:val="ro-RO"/>
        </w:rPr>
        <w:t>rata de variație a stocului de cauze pendinte, durata estimativă de lichidare a stocului de cauze pendinte, durata lichidării stocului de cauze pendinte, rata eficacității, structura cauzelor pendinte pe rolul instanței, rata deciziilor modificate sau anulate de instanța de apel/recurs</w:t>
      </w:r>
      <w:r w:rsidRPr="00187663">
        <w:rPr>
          <w:rFonts w:ascii="Times New Roman" w:hAnsi="Times New Roman"/>
          <w:sz w:val="24"/>
          <w:szCs w:val="24"/>
          <w:lang w:val="ro-RO"/>
        </w:rPr>
        <w:t xml:space="preserve">. </w:t>
      </w:r>
    </w:p>
    <w:p w14:paraId="4EF1E69B" w14:textId="77777777" w:rsidR="00347C4C" w:rsidRDefault="00347C4C" w:rsidP="00347C4C">
      <w:pPr>
        <w:spacing w:after="0"/>
        <w:ind w:firstLine="567"/>
        <w:jc w:val="both"/>
        <w:rPr>
          <w:rFonts w:ascii="Times New Roman" w:hAnsi="Times New Roman"/>
          <w:sz w:val="24"/>
          <w:szCs w:val="24"/>
          <w:lang w:val="ro-RO"/>
        </w:rPr>
      </w:pPr>
      <w:r w:rsidRPr="00187663">
        <w:rPr>
          <w:rFonts w:ascii="Times New Roman" w:hAnsi="Times New Roman"/>
          <w:sz w:val="24"/>
          <w:szCs w:val="24"/>
          <w:lang w:val="ro-RO"/>
        </w:rPr>
        <w:t>Nota informativă dată cuprinde analiza datelor statistice care au fost generate din Programul Integrat de Gestionare a Dosarelor cu privire la examinarea cauzelor penale, civile, economice, în baza Legii contenciosului administrativ, în ordine de apel și recurs, examinarea recursurilor privind eliberarea sau refuzul de a elibera  mandatul de arest, precum și prelungirea termenului de ținere sub arest, examinarea în ordine de recurs ordinar și recurs extraordinar a materialelor contravenționale.</w:t>
      </w:r>
    </w:p>
    <w:p w14:paraId="7DF83BBE" w14:textId="77777777" w:rsidR="00347C4C" w:rsidRDefault="00347C4C" w:rsidP="00347C4C">
      <w:pPr>
        <w:spacing w:after="0"/>
        <w:ind w:firstLine="567"/>
        <w:jc w:val="both"/>
        <w:rPr>
          <w:rFonts w:ascii="Times New Roman" w:hAnsi="Times New Roman"/>
          <w:sz w:val="24"/>
          <w:szCs w:val="24"/>
          <w:lang w:val="ro-RO"/>
        </w:rPr>
      </w:pPr>
      <w:r w:rsidRPr="00187663">
        <w:rPr>
          <w:rFonts w:ascii="Times New Roman" w:hAnsi="Times New Roman"/>
          <w:color w:val="000000"/>
          <w:sz w:val="24"/>
          <w:szCs w:val="24"/>
          <w:lang w:val="ro-MD"/>
        </w:rPr>
        <w:t xml:space="preserve">Rezultatele activității instanței în anul 2020 poartă amprenta pandemiei generate de virusul SARS – CoV – 2, iar contextul epidemiologic în care Curtea de Apel Cahul, precum și întreaga societate au fost nevoite să funcționeze a fost sursa unor provocări majore. În acest sens au fost dispuse măsuri menite să protejeze siguranța judecătorilor, angajaților și justițiabililor participanți la procedurile judiciare, iar pe de </w:t>
      </w:r>
      <w:r w:rsidRPr="00187663">
        <w:rPr>
          <w:rFonts w:ascii="Times New Roman" w:hAnsi="Times New Roman"/>
          <w:color w:val="000000"/>
          <w:sz w:val="24"/>
          <w:szCs w:val="24"/>
          <w:lang w:val="ro-MD"/>
        </w:rPr>
        <w:lastRenderedPageBreak/>
        <w:t>altă parte măsuri care să asigure funcționarea în continuare a instanței, garantând în acest fel dreptul constituțional al fiecărui cetățean de acces la procedurile judiciare.</w:t>
      </w:r>
    </w:p>
    <w:p w14:paraId="2257F689" w14:textId="77777777" w:rsidR="00347C4C" w:rsidRDefault="00347C4C" w:rsidP="00347C4C">
      <w:pPr>
        <w:spacing w:after="0"/>
        <w:ind w:firstLine="567"/>
        <w:jc w:val="both"/>
        <w:rPr>
          <w:rFonts w:ascii="Times New Roman" w:hAnsi="Times New Roman"/>
          <w:color w:val="000000"/>
          <w:sz w:val="24"/>
          <w:szCs w:val="24"/>
          <w:lang w:val="ro-MD"/>
        </w:rPr>
      </w:pPr>
      <w:r w:rsidRPr="00A219DB">
        <w:rPr>
          <w:rFonts w:ascii="Times New Roman" w:hAnsi="Times New Roman"/>
          <w:color w:val="000000"/>
          <w:sz w:val="24"/>
          <w:szCs w:val="24"/>
          <w:lang w:val="ro-MD"/>
        </w:rPr>
        <w:t xml:space="preserve">În toată această perioadă, activitatea, Curții de Apel Cahul desfășurată în limita competențelor legale, a urmărit asigurarea cadrului necesar pentru funcționarea normală ca serviciu public în slujba cetățeanului. </w:t>
      </w:r>
    </w:p>
    <w:p w14:paraId="726A457B" w14:textId="77777777" w:rsidR="00347C4C" w:rsidRDefault="00347C4C" w:rsidP="00347C4C">
      <w:pPr>
        <w:spacing w:after="0"/>
        <w:ind w:firstLine="567"/>
        <w:jc w:val="both"/>
        <w:rPr>
          <w:rFonts w:ascii="Times New Roman" w:hAnsi="Times New Roman"/>
          <w:sz w:val="24"/>
          <w:szCs w:val="24"/>
          <w:lang w:val="ro-MD"/>
        </w:rPr>
      </w:pPr>
      <w:r w:rsidRPr="00347C4C">
        <w:rPr>
          <w:rFonts w:ascii="Times New Roman" w:hAnsi="Times New Roman"/>
          <w:sz w:val="24"/>
          <w:szCs w:val="24"/>
          <w:lang w:val="ro-MD"/>
        </w:rPr>
        <w:t xml:space="preserve">În scopul evaluării eficienței și eficacității, precum și performanței Curții de Apel Cahul a fost necesar de indicatori în baza cărora să fie efectuată analiza activității cît și compararea cu anii precedenți.       </w:t>
      </w:r>
    </w:p>
    <w:p w14:paraId="2555EB85" w14:textId="06652C89" w:rsidR="00347C4C" w:rsidRPr="00347C4C" w:rsidRDefault="00347C4C" w:rsidP="00347C4C">
      <w:pPr>
        <w:spacing w:after="0"/>
        <w:ind w:firstLine="567"/>
        <w:jc w:val="both"/>
        <w:rPr>
          <w:rFonts w:ascii="Times New Roman" w:hAnsi="Times New Roman"/>
          <w:sz w:val="24"/>
          <w:szCs w:val="24"/>
          <w:lang w:val="ro-RO"/>
        </w:rPr>
      </w:pPr>
      <w:r w:rsidRPr="00347C4C">
        <w:rPr>
          <w:rFonts w:ascii="Times New Roman" w:hAnsi="Times New Roman"/>
          <w:sz w:val="24"/>
          <w:szCs w:val="24"/>
          <w:lang w:val="ro-MD"/>
        </w:rPr>
        <w:t xml:space="preserve">Sintetizând rezultatele acestei analize, putem concluziona că Curtea de Apel Cahul tinde spre o performanță continuă pentru realizarea calitativă a actului de justiție. </w:t>
      </w:r>
    </w:p>
    <w:p w14:paraId="5AE840D4" w14:textId="77777777" w:rsidR="002D569B" w:rsidRDefault="002D569B" w:rsidP="002D569B">
      <w:pPr>
        <w:pStyle w:val="a7"/>
        <w:tabs>
          <w:tab w:val="left" w:pos="142"/>
        </w:tabs>
        <w:ind w:right="-1"/>
        <w:rPr>
          <w:b/>
          <w:sz w:val="28"/>
          <w:szCs w:val="28"/>
        </w:rPr>
      </w:pPr>
    </w:p>
    <w:p w14:paraId="1B0BDAF6" w14:textId="77777777" w:rsidR="002D569B" w:rsidRDefault="002D569B" w:rsidP="002D569B">
      <w:pPr>
        <w:pStyle w:val="a7"/>
        <w:tabs>
          <w:tab w:val="left" w:pos="142"/>
        </w:tabs>
        <w:ind w:right="-1"/>
        <w:rPr>
          <w:b/>
          <w:sz w:val="28"/>
          <w:szCs w:val="28"/>
        </w:rPr>
      </w:pPr>
    </w:p>
    <w:p w14:paraId="30DBCFF5" w14:textId="77777777" w:rsidR="002D569B" w:rsidRDefault="002D569B" w:rsidP="002D569B">
      <w:pPr>
        <w:pStyle w:val="a7"/>
        <w:tabs>
          <w:tab w:val="left" w:pos="142"/>
        </w:tabs>
        <w:ind w:right="-1"/>
        <w:rPr>
          <w:b/>
          <w:sz w:val="28"/>
          <w:szCs w:val="28"/>
        </w:rPr>
      </w:pPr>
    </w:p>
    <w:p w14:paraId="7BC5B381" w14:textId="77777777" w:rsidR="002D569B" w:rsidRDefault="002D569B" w:rsidP="002D569B">
      <w:pPr>
        <w:pStyle w:val="a7"/>
        <w:tabs>
          <w:tab w:val="left" w:pos="142"/>
        </w:tabs>
        <w:ind w:right="-1"/>
        <w:rPr>
          <w:b/>
          <w:sz w:val="28"/>
          <w:szCs w:val="28"/>
        </w:rPr>
      </w:pPr>
    </w:p>
    <w:p w14:paraId="6A846355" w14:textId="77777777" w:rsidR="002D569B" w:rsidRDefault="002D569B" w:rsidP="002D569B">
      <w:pPr>
        <w:pStyle w:val="a7"/>
        <w:tabs>
          <w:tab w:val="left" w:pos="142"/>
        </w:tabs>
        <w:ind w:right="-1"/>
        <w:rPr>
          <w:b/>
          <w:sz w:val="28"/>
          <w:szCs w:val="28"/>
        </w:rPr>
      </w:pPr>
    </w:p>
    <w:p w14:paraId="73E39D4D" w14:textId="77777777" w:rsidR="002D569B" w:rsidRDefault="002D569B" w:rsidP="002D569B">
      <w:pPr>
        <w:pStyle w:val="a7"/>
        <w:tabs>
          <w:tab w:val="left" w:pos="142"/>
        </w:tabs>
        <w:ind w:right="-1"/>
        <w:rPr>
          <w:b/>
          <w:sz w:val="28"/>
          <w:szCs w:val="28"/>
        </w:rPr>
      </w:pPr>
    </w:p>
    <w:p w14:paraId="6C390C54" w14:textId="77777777" w:rsidR="00347C4C" w:rsidRPr="002D569B" w:rsidRDefault="00347C4C" w:rsidP="00347C4C">
      <w:pPr>
        <w:pStyle w:val="a4"/>
        <w:spacing w:after="0"/>
        <w:ind w:left="1134" w:right="567"/>
        <w:jc w:val="both"/>
        <w:rPr>
          <w:lang w:eastAsia="en-US"/>
        </w:rPr>
      </w:pPr>
    </w:p>
    <w:p w14:paraId="73974324" w14:textId="6B438AD0" w:rsidR="00EA6C18" w:rsidRPr="00A219DB" w:rsidRDefault="00EA6C18" w:rsidP="00EA6C18">
      <w:pPr>
        <w:pStyle w:val="a4"/>
        <w:spacing w:after="0"/>
        <w:ind w:left="709" w:right="567" w:hanging="142"/>
        <w:rPr>
          <w:rFonts w:ascii="Times New Roman" w:hAnsi="Times New Roman"/>
          <w:i/>
          <w:sz w:val="24"/>
          <w:szCs w:val="24"/>
          <w:lang w:val="ro-MD" w:eastAsia="en-US"/>
        </w:rPr>
      </w:pPr>
    </w:p>
    <w:p w14:paraId="0CF7A7D4" w14:textId="77777777" w:rsidR="00EA6C18" w:rsidRPr="00A219DB" w:rsidRDefault="00EA6C18" w:rsidP="00EA6C18">
      <w:pPr>
        <w:pStyle w:val="a4"/>
        <w:spacing w:after="0"/>
        <w:ind w:left="1134" w:right="567"/>
        <w:rPr>
          <w:rFonts w:ascii="Times New Roman" w:hAnsi="Times New Roman"/>
          <w:i/>
          <w:sz w:val="24"/>
          <w:szCs w:val="24"/>
          <w:lang w:val="ro-MD" w:eastAsia="en-US"/>
        </w:rPr>
      </w:pPr>
    </w:p>
    <w:p w14:paraId="13EE2B49" w14:textId="77777777" w:rsidR="00EA6C18" w:rsidRPr="00A219DB" w:rsidRDefault="00EA6C18" w:rsidP="00EA6C18">
      <w:pPr>
        <w:pStyle w:val="a4"/>
        <w:spacing w:after="0"/>
        <w:ind w:left="1134" w:right="567"/>
        <w:rPr>
          <w:rFonts w:ascii="Times New Roman" w:hAnsi="Times New Roman"/>
          <w:i/>
          <w:sz w:val="24"/>
          <w:szCs w:val="24"/>
          <w:lang w:val="ro-MD" w:eastAsia="en-US"/>
        </w:rPr>
      </w:pPr>
    </w:p>
    <w:p w14:paraId="73CEEF9C" w14:textId="77777777" w:rsidR="00EA6C18" w:rsidRPr="00A219DB" w:rsidRDefault="00EA6C18" w:rsidP="00EA6C18">
      <w:pPr>
        <w:pStyle w:val="a4"/>
        <w:spacing w:after="0"/>
        <w:ind w:left="1134" w:right="567"/>
        <w:rPr>
          <w:noProof/>
          <w:lang w:val="ro-MD" w:eastAsia="en-US"/>
        </w:rPr>
      </w:pPr>
    </w:p>
    <w:p w14:paraId="36B4BAA2" w14:textId="77777777" w:rsidR="00937B9C" w:rsidRPr="00A219DB" w:rsidRDefault="00937B9C" w:rsidP="00937B9C">
      <w:pPr>
        <w:tabs>
          <w:tab w:val="left" w:pos="1995"/>
        </w:tabs>
        <w:ind w:left="1134" w:right="567" w:firstLine="567"/>
        <w:jc w:val="both"/>
        <w:rPr>
          <w:rFonts w:ascii="Times New Roman"/>
          <w:sz w:val="24"/>
          <w:szCs w:val="24"/>
          <w:lang w:val="ro-MD"/>
        </w:rPr>
      </w:pPr>
    </w:p>
    <w:p w14:paraId="3D629C35" w14:textId="77777777" w:rsidR="00937B9C" w:rsidRPr="002A7A3A" w:rsidRDefault="00937B9C">
      <w:pPr>
        <w:rPr>
          <w:lang w:val="ro-MD"/>
        </w:rPr>
      </w:pPr>
    </w:p>
    <w:sectPr w:rsidR="00937B9C" w:rsidRPr="002A7A3A" w:rsidSect="00571156">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39"/>
    <w:rsid w:val="000B2978"/>
    <w:rsid w:val="001C491A"/>
    <w:rsid w:val="001F1E86"/>
    <w:rsid w:val="002A7A3A"/>
    <w:rsid w:val="002D569B"/>
    <w:rsid w:val="00347C4C"/>
    <w:rsid w:val="00384065"/>
    <w:rsid w:val="004875BF"/>
    <w:rsid w:val="004B4744"/>
    <w:rsid w:val="005570CC"/>
    <w:rsid w:val="00571156"/>
    <w:rsid w:val="007210B7"/>
    <w:rsid w:val="007775F3"/>
    <w:rsid w:val="008835B3"/>
    <w:rsid w:val="00937B9C"/>
    <w:rsid w:val="00980BC6"/>
    <w:rsid w:val="00983739"/>
    <w:rsid w:val="009F7898"/>
    <w:rsid w:val="00B028A0"/>
    <w:rsid w:val="00DF5886"/>
    <w:rsid w:val="00EA6C18"/>
    <w:rsid w:val="00F76CDC"/>
    <w:rsid w:val="00FD1A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824C"/>
  <w15:chartTrackingRefBased/>
  <w15:docId w15:val="{E108B600-2E78-4C35-B4C5-5E72E85A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A3A"/>
    <w:rPr>
      <w:rFonts w:eastAsiaTheme="minorEastAsia"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886"/>
    <w:pPr>
      <w:spacing w:before="100" w:beforeAutospacing="1" w:after="100" w:afterAutospacing="1" w:line="240" w:lineRule="auto"/>
    </w:pPr>
    <w:rPr>
      <w:rFonts w:ascii="Times New Roman" w:eastAsia="Times New Roman" w:hAnsi="Times New Roman"/>
      <w:sz w:val="24"/>
      <w:szCs w:val="24"/>
    </w:rPr>
  </w:style>
  <w:style w:type="paragraph" w:styleId="a4">
    <w:name w:val="annotation text"/>
    <w:basedOn w:val="a"/>
    <w:link w:val="a5"/>
    <w:uiPriority w:val="99"/>
    <w:unhideWhenUsed/>
    <w:rsid w:val="002A7A3A"/>
    <w:pPr>
      <w:spacing w:after="200" w:line="240" w:lineRule="auto"/>
    </w:pPr>
    <w:rPr>
      <w:sz w:val="20"/>
      <w:szCs w:val="20"/>
      <w:lang w:val="ro-RO" w:eastAsia="en-GB"/>
    </w:rPr>
  </w:style>
  <w:style w:type="character" w:customStyle="1" w:styleId="a5">
    <w:name w:val="Текст примечания Знак"/>
    <w:basedOn w:val="a0"/>
    <w:link w:val="a4"/>
    <w:uiPriority w:val="99"/>
    <w:rsid w:val="002A7A3A"/>
    <w:rPr>
      <w:rFonts w:eastAsiaTheme="minorEastAsia" w:cs="Times New Roman"/>
      <w:sz w:val="20"/>
      <w:szCs w:val="20"/>
      <w:lang w:val="ro-RO" w:eastAsia="en-GB"/>
    </w:rPr>
  </w:style>
  <w:style w:type="character" w:customStyle="1" w:styleId="a6">
    <w:name w:val="Без интервала Знак"/>
    <w:link w:val="a7"/>
    <w:uiPriority w:val="1"/>
    <w:locked/>
    <w:rsid w:val="00347C4C"/>
    <w:rPr>
      <w:rFonts w:ascii="Times New Roman" w:hAnsi="Times New Roman"/>
      <w:noProof/>
      <w:sz w:val="24"/>
      <w:lang w:val="ro-RO" w:eastAsia="en-US"/>
    </w:rPr>
  </w:style>
  <w:style w:type="paragraph" w:styleId="a7">
    <w:name w:val="No Spacing"/>
    <w:next w:val="a4"/>
    <w:link w:val="a6"/>
    <w:autoRedefine/>
    <w:uiPriority w:val="1"/>
    <w:qFormat/>
    <w:rsid w:val="00347C4C"/>
    <w:pPr>
      <w:spacing w:before="20" w:after="0" w:line="276" w:lineRule="auto"/>
      <w:ind w:right="-2" w:firstLine="567"/>
      <w:jc w:val="both"/>
    </w:pPr>
    <w:rPr>
      <w:rFonts w:ascii="Times New Roman" w:hAnsi="Times New Roman"/>
      <w:noProof/>
      <w:sz w:val="24"/>
      <w:lang w:val="ro-RO" w:eastAsia="en-US"/>
    </w:rPr>
  </w:style>
  <w:style w:type="paragraph" w:styleId="a8">
    <w:name w:val="List Paragraph"/>
    <w:basedOn w:val="a"/>
    <w:uiPriority w:val="34"/>
    <w:qFormat/>
    <w:rsid w:val="002A7A3A"/>
    <w:pPr>
      <w:ind w:left="720"/>
      <w:contextualSpacing/>
    </w:pPr>
    <w:rPr>
      <w:rFonts w:eastAsia="Times New Roman" w:hAnsi="Times New Roman"/>
    </w:rPr>
  </w:style>
  <w:style w:type="character" w:customStyle="1" w:styleId="a2f34182766ae448ea3ab12adbfeb8378392">
    <w:name w:val="a2f34182766ae448ea3ab12adbfeb8378392"/>
    <w:basedOn w:val="a0"/>
    <w:rsid w:val="00EA6C18"/>
    <w:rPr>
      <w:rFonts w:cs="Times New Roman"/>
    </w:rPr>
  </w:style>
  <w:style w:type="paragraph" w:styleId="a9">
    <w:name w:val="Balloon Text"/>
    <w:basedOn w:val="a"/>
    <w:link w:val="aa"/>
    <w:uiPriority w:val="99"/>
    <w:semiHidden/>
    <w:unhideWhenUsed/>
    <w:rsid w:val="0038406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84065"/>
    <w:rPr>
      <w:rFonts w:ascii="Segoe UI" w:eastAsiaTheme="minorEastAsia"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41760">
      <w:bodyDiv w:val="1"/>
      <w:marLeft w:val="0"/>
      <w:marRight w:val="0"/>
      <w:marTop w:val="0"/>
      <w:marBottom w:val="0"/>
      <w:divBdr>
        <w:top w:val="none" w:sz="0" w:space="0" w:color="auto"/>
        <w:left w:val="none" w:sz="0" w:space="0" w:color="auto"/>
        <w:bottom w:val="none" w:sz="0" w:space="0" w:color="auto"/>
        <w:right w:val="none" w:sz="0" w:space="0" w:color="auto"/>
      </w:divBdr>
    </w:div>
    <w:div w:id="14373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chart" Target="charts/chart9.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chart" Target="charts/chart8.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image" Target="media/image1.png"/><Relationship Id="rId5" Type="http://schemas.openxmlformats.org/officeDocument/2006/relationships/chart" Target="charts/chart2.xml"/><Relationship Id="rId15" Type="http://schemas.openxmlformats.org/officeDocument/2006/relationships/chart" Target="charts/chart10.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F:\!%20Basic%20Model%20Tables%20for%20final%202020%2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192.168.54.10\public\PUBLIC%20%20COMUNA%201\Hantea%20Svetlana\!%20Basic%20Model%20Tables%20for%20final%202020%20(1).xlsx" TargetMode="External"/><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192.168.54.10\public\PUBLIC%20%20COMUNA%201\Hantea%20Svetlana\!%20Basic%20Model%20Tables%20for%20final%202020%20(1).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192.168.54.10\public\PUBLIC%20%20COMUNA%201\Hantea%20Svetlana\!%20Basic%20Model%20Tables%20for%20final%202020%20(1).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1" Type="http://schemas.openxmlformats.org/officeDocument/2006/relationships/oleObject" Target="file:///D:\&#1056;&#1072;&#1073;&#1086;&#1095;&#1080;&#1081;%20&#1089;&#1090;&#1086;&#1083;\!%20Basic%20Model%20Tables%20for%20final%202020%20%20%20%20%20%20%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54.10\public\PUBLIC%20%20COMUNA%201\Hantea%20Svetlana\!%20Basic%20Model%20Tables%20for%20final%2020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a:latin typeface="Times New Roman" panose="02020603050405020304" pitchFamily="18" charset="0"/>
                <a:cs typeface="Times New Roman" panose="02020603050405020304" pitchFamily="18" charset="0"/>
              </a:defRPr>
            </a:pPr>
            <a:r>
              <a:rPr lang="ro-RO" sz="1200" b="1" i="0" baseline="0">
                <a:effectLst/>
                <a:latin typeface="Times New Roman" panose="02020603050405020304" pitchFamily="18" charset="0"/>
                <a:cs typeface="Times New Roman" panose="02020603050405020304" pitchFamily="18" charset="0"/>
              </a:rPr>
              <a:t>Evoluția încărcăturii instanței în anii </a:t>
            </a:r>
            <a:r>
              <a:rPr lang="en-GB" sz="1200" b="1" i="0" baseline="0">
                <a:effectLst/>
                <a:latin typeface="Times New Roman" panose="02020603050405020304" pitchFamily="18" charset="0"/>
                <a:cs typeface="Times New Roman" panose="02020603050405020304" pitchFamily="18" charset="0"/>
              </a:rPr>
              <a:t>201</a:t>
            </a:r>
            <a:r>
              <a:rPr lang="ro-RO" sz="1200" b="1" i="0" baseline="0">
                <a:effectLst/>
                <a:latin typeface="Times New Roman" panose="02020603050405020304" pitchFamily="18" charset="0"/>
                <a:cs typeface="Times New Roman" panose="02020603050405020304" pitchFamily="18" charset="0"/>
              </a:rPr>
              <a:t>8 - 2020</a:t>
            </a:r>
            <a:endParaRPr lang="en-GB" sz="1200" b="1">
              <a:effectLst/>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9.2887663089300757E-2"/>
          <c:y val="0.12488235909233504"/>
          <c:w val="0.70066015537707227"/>
          <c:h val="0.80372768716306864"/>
        </c:manualLayout>
      </c:layout>
      <c:barChart>
        <c:barDir val="col"/>
        <c:grouping val="clustered"/>
        <c:varyColors val="0"/>
        <c:ser>
          <c:idx val="1"/>
          <c:order val="0"/>
          <c:tx>
            <c:v>Cauze aflate în procedură</c:v>
          </c:tx>
          <c:spPr>
            <a:solidFill>
              <a:schemeClr val="accent4">
                <a:lumMod val="75000"/>
              </a:schemeClr>
            </a:solidFill>
            <a:ln w="25400"/>
          </c:spPr>
          <c:invertIfNegative val="0"/>
          <c:dLbls>
            <c:dLbl>
              <c:idx val="0"/>
              <c:layout>
                <c:manualLayout>
                  <c:x val="-2.1688301842598828E-17"/>
                  <c:y val="0.37959775532388557"/>
                </c:manualLayout>
              </c:layout>
              <c:tx>
                <c:rich>
                  <a:bodyPr/>
                  <a:lstStyle/>
                  <a:p>
                    <a:r>
                      <a:rPr lang="en-US"/>
                      <a:t>1785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34-4435-B061-BBAD46950647}"/>
                </c:ext>
              </c:extLst>
            </c:dLbl>
            <c:dLbl>
              <c:idx val="1"/>
              <c:layout>
                <c:manualLayout>
                  <c:x val="0"/>
                  <c:y val="0.43273252012627306"/>
                </c:manualLayout>
              </c:layout>
              <c:tx>
                <c:rich>
                  <a:bodyPr/>
                  <a:lstStyle/>
                  <a:p>
                    <a:r>
                      <a:rPr lang="en-US"/>
                      <a:t>1786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34-4435-B061-BBAD46950647}"/>
                </c:ext>
              </c:extLst>
            </c:dLbl>
            <c:dLbl>
              <c:idx val="2"/>
              <c:layout>
                <c:manualLayout>
                  <c:x val="3.9920159680638719E-3"/>
                  <c:y val="0.5140994630573138"/>
                </c:manualLayout>
              </c:layout>
              <c:tx>
                <c:rich>
                  <a:bodyPr/>
                  <a:lstStyle/>
                  <a:p>
                    <a:r>
                      <a:rPr lang="en-US"/>
                      <a:t>2083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34-4435-B061-BBAD46950647}"/>
                </c:ext>
              </c:extLst>
            </c:dLbl>
            <c:spPr>
              <a:noFill/>
              <a:ln>
                <a:noFill/>
              </a:ln>
              <a:effectLst/>
            </c:spPr>
            <c:txPr>
              <a:bodyPr rot="-5400000" vert="horz"/>
              <a:lstStyle/>
              <a:p>
                <a:pPr>
                  <a:defRPr sz="1400" b="1">
                    <a:solidFill>
                      <a:schemeClr val="tx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'Rezultat Structura fluxului'!$I$6:$L$6</c:f>
              <c:numCache>
                <c:formatCode>General</c:formatCode>
                <c:ptCount val="3"/>
                <c:pt idx="0">
                  <c:v>2018</c:v>
                </c:pt>
                <c:pt idx="1">
                  <c:v>2019</c:v>
                </c:pt>
                <c:pt idx="2">
                  <c:v>2020</c:v>
                </c:pt>
              </c:numCache>
            </c:numRef>
          </c:cat>
          <c:val>
            <c:numRef>
              <c:f>'Rezultat Structura fluxului'!$I$13:$L$13</c:f>
              <c:numCache>
                <c:formatCode>#,##0</c:formatCode>
                <c:ptCount val="3"/>
                <c:pt idx="0">
                  <c:v>1436</c:v>
                </c:pt>
                <c:pt idx="1">
                  <c:v>1561</c:v>
                </c:pt>
                <c:pt idx="2">
                  <c:v>1875</c:v>
                </c:pt>
              </c:numCache>
            </c:numRef>
          </c:val>
          <c:extLst>
            <c:ext xmlns:c16="http://schemas.microsoft.com/office/drawing/2014/chart" uri="{C3380CC4-5D6E-409C-BE32-E72D297353CC}">
              <c16:uniqueId val="{00000003-2834-4435-B061-BBAD46950647}"/>
            </c:ext>
          </c:extLst>
        </c:ser>
        <c:ser>
          <c:idx val="2"/>
          <c:order val="1"/>
          <c:tx>
            <c:v>Cauze soluționate</c:v>
          </c:tx>
          <c:spPr>
            <a:solidFill>
              <a:schemeClr val="tx2">
                <a:lumMod val="60000"/>
                <a:lumOff val="40000"/>
              </a:schemeClr>
            </a:solidFill>
          </c:spPr>
          <c:invertIfNegative val="0"/>
          <c:dLbls>
            <c:spPr>
              <a:noFill/>
              <a:ln>
                <a:noFill/>
              </a:ln>
              <a:effectLst/>
            </c:spPr>
            <c:txPr>
              <a:bodyPr rot="-5400000" vert="horz" anchor="ctr" anchorCtr="0"/>
              <a:lstStyle/>
              <a:p>
                <a:pPr>
                  <a:defRPr sz="1400" b="1">
                    <a:solidFill>
                      <a:schemeClr val="tx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'Rezultat Structura fluxului'!$I$6:$L$6</c:f>
              <c:numCache>
                <c:formatCode>General</c:formatCode>
                <c:ptCount val="3"/>
                <c:pt idx="0">
                  <c:v>2018</c:v>
                </c:pt>
                <c:pt idx="1">
                  <c:v>2019</c:v>
                </c:pt>
                <c:pt idx="2">
                  <c:v>2020</c:v>
                </c:pt>
              </c:numCache>
            </c:numRef>
          </c:cat>
          <c:val>
            <c:numRef>
              <c:f>'Rezultat Structura fluxului'!$Q$13:$T$13</c:f>
              <c:numCache>
                <c:formatCode>#,##0</c:formatCode>
                <c:ptCount val="3"/>
                <c:pt idx="0">
                  <c:v>1560</c:v>
                </c:pt>
                <c:pt idx="1">
                  <c:v>1578</c:v>
                </c:pt>
                <c:pt idx="2">
                  <c:v>1818</c:v>
                </c:pt>
              </c:numCache>
            </c:numRef>
          </c:val>
          <c:extLst>
            <c:ext xmlns:c16="http://schemas.microsoft.com/office/drawing/2014/chart" uri="{C3380CC4-5D6E-409C-BE32-E72D297353CC}">
              <c16:uniqueId val="{00000004-2834-4435-B061-BBAD46950647}"/>
            </c:ext>
          </c:extLst>
        </c:ser>
        <c:ser>
          <c:idx val="3"/>
          <c:order val="2"/>
          <c:tx>
            <c:v>Cauze pendinte</c:v>
          </c:tx>
          <c:spPr>
            <a:solidFill>
              <a:schemeClr val="accent6">
                <a:lumMod val="75000"/>
              </a:schemeClr>
            </a:solidFill>
          </c:spPr>
          <c:invertIfNegative val="0"/>
          <c:dLbls>
            <c:spPr>
              <a:noFill/>
              <a:ln>
                <a:noFill/>
              </a:ln>
              <a:effectLst/>
            </c:spPr>
            <c:txPr>
              <a:bodyPr rot="-5400000" vert="horz"/>
              <a:lstStyle/>
              <a:p>
                <a:pPr>
                  <a:defRPr sz="1400" b="1">
                    <a:solidFill>
                      <a:schemeClr val="tx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'Rezultat Structura fluxului'!$I$6:$L$6</c:f>
              <c:numCache>
                <c:formatCode>General</c:formatCode>
                <c:ptCount val="3"/>
                <c:pt idx="0">
                  <c:v>2018</c:v>
                </c:pt>
                <c:pt idx="1">
                  <c:v>2019</c:v>
                </c:pt>
                <c:pt idx="2">
                  <c:v>2020</c:v>
                </c:pt>
              </c:numCache>
            </c:numRef>
          </c:cat>
          <c:val>
            <c:numRef>
              <c:f>'Rezultat Structura fluxului'!$Y$13:$AB$13</c:f>
              <c:numCache>
                <c:formatCode>#,##0</c:formatCode>
                <c:ptCount val="3"/>
                <c:pt idx="0">
                  <c:v>225</c:v>
                </c:pt>
                <c:pt idx="1">
                  <c:v>208</c:v>
                </c:pt>
                <c:pt idx="2">
                  <c:v>265</c:v>
                </c:pt>
              </c:numCache>
            </c:numRef>
          </c:val>
          <c:extLst>
            <c:ext xmlns:c16="http://schemas.microsoft.com/office/drawing/2014/chart" uri="{C3380CC4-5D6E-409C-BE32-E72D297353CC}">
              <c16:uniqueId val="{00000005-2834-4435-B061-BBAD46950647}"/>
            </c:ext>
          </c:extLst>
        </c:ser>
        <c:dLbls>
          <c:showLegendKey val="0"/>
          <c:showVal val="0"/>
          <c:showCatName val="0"/>
          <c:showSerName val="0"/>
          <c:showPercent val="0"/>
          <c:showBubbleSize val="0"/>
        </c:dLbls>
        <c:gapWidth val="26"/>
        <c:axId val="171910928"/>
        <c:axId val="173726880"/>
      </c:barChart>
      <c:catAx>
        <c:axId val="171910928"/>
        <c:scaling>
          <c:orientation val="minMax"/>
        </c:scaling>
        <c:delete val="0"/>
        <c:axPos val="b"/>
        <c:numFmt formatCode="General" sourceLinked="1"/>
        <c:majorTickMark val="out"/>
        <c:minorTickMark val="none"/>
        <c:tickLblPos val="nextTo"/>
        <c:txPr>
          <a:bodyPr/>
          <a:lstStyle/>
          <a:p>
            <a:pPr>
              <a:defRPr b="1"/>
            </a:pPr>
            <a:endParaRPr lang="ru-RU"/>
          </a:p>
        </c:txPr>
        <c:crossAx val="173726880"/>
        <c:crosses val="autoZero"/>
        <c:auto val="1"/>
        <c:lblAlgn val="ctr"/>
        <c:lblOffset val="100"/>
        <c:noMultiLvlLbl val="0"/>
      </c:catAx>
      <c:valAx>
        <c:axId val="173726880"/>
        <c:scaling>
          <c:orientation val="minMax"/>
        </c:scaling>
        <c:delete val="0"/>
        <c:axPos val="l"/>
        <c:majorGridlines/>
        <c:numFmt formatCode="#,##0" sourceLinked="1"/>
        <c:majorTickMark val="out"/>
        <c:minorTickMark val="none"/>
        <c:tickLblPos val="nextTo"/>
        <c:txPr>
          <a:bodyPr/>
          <a:lstStyle/>
          <a:p>
            <a:pPr>
              <a:defRPr sz="1000" b="1"/>
            </a:pPr>
            <a:endParaRPr lang="ru-RU"/>
          </a:p>
        </c:txPr>
        <c:crossAx val="171910928"/>
        <c:crosses val="autoZero"/>
        <c:crossBetween val="between"/>
      </c:valAx>
    </c:plotArea>
    <c:legend>
      <c:legendPos val="r"/>
      <c:layout>
        <c:manualLayout>
          <c:xMode val="edge"/>
          <c:yMode val="edge"/>
          <c:x val="0.79608935373081913"/>
          <c:y val="9.689431650895905E-2"/>
          <c:w val="0.20052125370806115"/>
          <c:h val="0.81916951637628188"/>
        </c:manualLayout>
      </c:layout>
      <c:overlay val="0"/>
      <c:txPr>
        <a:bodyPr/>
        <a:lstStyle/>
        <a:p>
          <a:pPr>
            <a:defRPr sz="1400"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Tahoma"/>
                <a:ea typeface="Tahoma"/>
                <a:cs typeface="Tahoma"/>
              </a:defRPr>
            </a:pPr>
            <a:r>
              <a:rPr lang="en-US" sz="1100" b="1" i="0" u="none" strike="noStrike" baseline="0">
                <a:effectLst/>
              </a:rPr>
              <a:t>Curtea de Apel Cahul</a:t>
            </a:r>
            <a:r>
              <a:rPr lang="x-none" sz="1100" b="1" i="0" u="none" strike="noStrike" baseline="0">
                <a:effectLst/>
              </a:rPr>
              <a:t>: </a:t>
            </a:r>
            <a:r>
              <a:rPr lang="x-none" sz="1100"/>
              <a:t>Numărul de j</a:t>
            </a:r>
            <a:r>
              <a:rPr lang="ro-RO" sz="1100" b="1" i="0" u="none" strike="noStrike" baseline="0">
                <a:effectLst/>
              </a:rPr>
              <a:t>udecători</a:t>
            </a:r>
            <a:r>
              <a:rPr lang="en-GB" sz="1100" b="1" i="0" u="none" strike="noStrike" baseline="0">
                <a:effectLst/>
              </a:rPr>
              <a:t>, </a:t>
            </a:r>
            <a:r>
              <a:rPr lang="ro-RO" sz="1100" b="1" i="0" u="none" strike="noStrike" baseline="0">
                <a:effectLst/>
              </a:rPr>
              <a:t>angajați și ratele Judecător/angajați</a:t>
            </a:r>
            <a:endParaRPr lang="en-GB" sz="1100"/>
          </a:p>
        </c:rich>
      </c:tx>
      <c:layout>
        <c:manualLayout>
          <c:xMode val="edge"/>
          <c:yMode val="edge"/>
          <c:x val="8.4503321449639651E-2"/>
          <c:y val="2.6446532893065786E-2"/>
        </c:manualLayout>
      </c:layout>
      <c:overlay val="0"/>
      <c:spPr>
        <a:noFill/>
        <a:ln w="25400">
          <a:noFill/>
        </a:ln>
      </c:spPr>
    </c:title>
    <c:autoTitleDeleted val="0"/>
    <c:plotArea>
      <c:layout>
        <c:manualLayout>
          <c:layoutTarget val="inner"/>
          <c:xMode val="edge"/>
          <c:yMode val="edge"/>
          <c:x val="0.11919960330691565"/>
          <c:y val="0.13439301534368012"/>
          <c:w val="0.77157215282943048"/>
          <c:h val="0.81629428533338266"/>
        </c:manualLayout>
      </c:layout>
      <c:barChart>
        <c:barDir val="col"/>
        <c:grouping val="stacked"/>
        <c:varyColors val="0"/>
        <c:ser>
          <c:idx val="1"/>
          <c:order val="0"/>
          <c:tx>
            <c:strRef>
              <c:f>'[! Basic Model Tables for final 2020 (1).xlsx]Rezultat CPJ, CPC'!$A$15</c:f>
              <c:strCache>
                <c:ptCount val="1"/>
                <c:pt idx="0">
                  <c:v>Judecători</c:v>
                </c:pt>
              </c:strCache>
            </c:strRef>
          </c:tx>
          <c:spPr>
            <a:solidFill>
              <a:srgbClr val="00B0F0"/>
            </a:solidFill>
            <a:ln w="25400">
              <a:noFill/>
            </a:ln>
          </c:spPr>
          <c:invertIfNegative val="0"/>
          <c:cat>
            <c:numRef>
              <c:f>'[! Basic Model Tables for final 2020 (1).xlsx]Rezultat CPJ, CPC'!$B$8:$E$8</c:f>
              <c:numCache>
                <c:formatCode>General</c:formatCode>
                <c:ptCount val="3"/>
                <c:pt idx="0">
                  <c:v>2018</c:v>
                </c:pt>
                <c:pt idx="1">
                  <c:v>2019</c:v>
                </c:pt>
                <c:pt idx="2">
                  <c:v>2020</c:v>
                </c:pt>
              </c:numCache>
            </c:numRef>
          </c:cat>
          <c:val>
            <c:numRef>
              <c:f>'[! Basic Model Tables for final 2020 (1).xlsx]Rezultat CPJ, CPC'!$B$15:$E$15</c:f>
              <c:numCache>
                <c:formatCode>0.00</c:formatCode>
                <c:ptCount val="3"/>
                <c:pt idx="0">
                  <c:v>7.6</c:v>
                </c:pt>
                <c:pt idx="1">
                  <c:v>9</c:v>
                </c:pt>
                <c:pt idx="2">
                  <c:v>9</c:v>
                </c:pt>
              </c:numCache>
            </c:numRef>
          </c:val>
          <c:extLst>
            <c:ext xmlns:c16="http://schemas.microsoft.com/office/drawing/2014/chart" uri="{C3380CC4-5D6E-409C-BE32-E72D297353CC}">
              <c16:uniqueId val="{00000000-A024-40FA-B567-4E61616348B4}"/>
            </c:ext>
          </c:extLst>
        </c:ser>
        <c:ser>
          <c:idx val="3"/>
          <c:order val="1"/>
          <c:tx>
            <c:strRef>
              <c:f>'[! Basic Model Tables for final 2020 (1).xlsx]Rezultat CPJ, CPC'!$A$16</c:f>
              <c:strCache>
                <c:ptCount val="1"/>
                <c:pt idx="0">
                  <c:v>Asistenți judiciari </c:v>
                </c:pt>
              </c:strCache>
            </c:strRef>
          </c:tx>
          <c:spPr>
            <a:solidFill>
              <a:schemeClr val="accent6">
                <a:lumMod val="60000"/>
                <a:lumOff val="40000"/>
              </a:schemeClr>
            </a:solidFill>
          </c:spPr>
          <c:invertIfNegative val="0"/>
          <c:cat>
            <c:numRef>
              <c:f>'[! Basic Model Tables for final 2020 (1).xlsx]Rezultat CPJ, CPC'!$B$8:$E$8</c:f>
              <c:numCache>
                <c:formatCode>General</c:formatCode>
                <c:ptCount val="3"/>
                <c:pt idx="0">
                  <c:v>2018</c:v>
                </c:pt>
                <c:pt idx="1">
                  <c:v>2019</c:v>
                </c:pt>
                <c:pt idx="2">
                  <c:v>2020</c:v>
                </c:pt>
              </c:numCache>
            </c:numRef>
          </c:cat>
          <c:val>
            <c:numRef>
              <c:f>'[! Basic Model Tables for final 2020 (1).xlsx]Rezultat CPJ, CPC'!$B$16:$E$16</c:f>
              <c:numCache>
                <c:formatCode>0.00</c:formatCode>
                <c:ptCount val="3"/>
                <c:pt idx="0">
                  <c:v>15.5</c:v>
                </c:pt>
                <c:pt idx="1">
                  <c:v>17.7</c:v>
                </c:pt>
                <c:pt idx="2">
                  <c:v>17.3</c:v>
                </c:pt>
              </c:numCache>
            </c:numRef>
          </c:val>
          <c:extLst>
            <c:ext xmlns:c16="http://schemas.microsoft.com/office/drawing/2014/chart" uri="{C3380CC4-5D6E-409C-BE32-E72D297353CC}">
              <c16:uniqueId val="{00000001-A024-40FA-B567-4E61616348B4}"/>
            </c:ext>
          </c:extLst>
        </c:ser>
        <c:ser>
          <c:idx val="0"/>
          <c:order val="2"/>
          <c:tx>
            <c:strRef>
              <c:f>'[! Basic Model Tables for final 2020 (1).xlsx]Rezultat CPJ, CPC'!$A$17</c:f>
              <c:strCache>
                <c:ptCount val="1"/>
                <c:pt idx="0">
                  <c:v>Personalul non-judiciar</c:v>
                </c:pt>
              </c:strCache>
            </c:strRef>
          </c:tx>
          <c:spPr>
            <a:solidFill>
              <a:srgbClr val="99CC00"/>
            </a:solidFill>
            <a:ln w="25400">
              <a:noFill/>
            </a:ln>
          </c:spPr>
          <c:invertIfNegative val="0"/>
          <c:cat>
            <c:numRef>
              <c:f>'[! Basic Model Tables for final 2020 (1).xlsx]Rezultat CPJ, CPC'!$B$8:$E$8</c:f>
              <c:numCache>
                <c:formatCode>General</c:formatCode>
                <c:ptCount val="3"/>
                <c:pt idx="0">
                  <c:v>2018</c:v>
                </c:pt>
                <c:pt idx="1">
                  <c:v>2019</c:v>
                </c:pt>
                <c:pt idx="2">
                  <c:v>2020</c:v>
                </c:pt>
              </c:numCache>
            </c:numRef>
          </c:cat>
          <c:val>
            <c:numRef>
              <c:f>'[! Basic Model Tables for final 2020 (1).xlsx]Rezultat CPJ, CPC'!$B$17:$E$17</c:f>
              <c:numCache>
                <c:formatCode>0.00</c:formatCode>
                <c:ptCount val="3"/>
                <c:pt idx="0">
                  <c:v>17.3</c:v>
                </c:pt>
                <c:pt idx="1">
                  <c:v>18</c:v>
                </c:pt>
                <c:pt idx="2">
                  <c:v>20</c:v>
                </c:pt>
              </c:numCache>
            </c:numRef>
          </c:val>
          <c:extLst>
            <c:ext xmlns:c16="http://schemas.microsoft.com/office/drawing/2014/chart" uri="{C3380CC4-5D6E-409C-BE32-E72D297353CC}">
              <c16:uniqueId val="{00000002-A024-40FA-B567-4E61616348B4}"/>
            </c:ext>
          </c:extLst>
        </c:ser>
        <c:dLbls>
          <c:showLegendKey val="0"/>
          <c:showVal val="0"/>
          <c:showCatName val="0"/>
          <c:showSerName val="0"/>
          <c:showPercent val="0"/>
          <c:showBubbleSize val="0"/>
        </c:dLbls>
        <c:gapWidth val="150"/>
        <c:overlap val="100"/>
        <c:axId val="175303392"/>
        <c:axId val="175303952"/>
      </c:barChart>
      <c:lineChart>
        <c:grouping val="standard"/>
        <c:varyColors val="0"/>
        <c:ser>
          <c:idx val="2"/>
          <c:order val="3"/>
          <c:tx>
            <c:strRef>
              <c:f>'[! Basic Model Tables for final 2020 (1).xlsx]Rezultat CPJ, CPC'!$A$19</c:f>
              <c:strCache>
                <c:ptCount val="1"/>
                <c:pt idx="0">
                  <c:v>Rata asistenți judiciari / Judecător</c:v>
                </c:pt>
              </c:strCache>
            </c:strRef>
          </c:tx>
          <c:spPr>
            <a:ln w="38100" cap="rnd" cmpd="sng" algn="ctr">
              <a:solidFill>
                <a:srgbClr val="FF0000"/>
              </a:solidFill>
              <a:prstDash val="solid"/>
            </a:ln>
            <a:effectLst/>
          </c:spPr>
          <c:marker>
            <c:symbol val="diamond"/>
            <c:size val="3"/>
            <c:spPr>
              <a:solidFill>
                <a:srgbClr val="FF0000"/>
              </a:solidFill>
              <a:ln w="25400" cap="flat" cmpd="sng" algn="ctr">
                <a:solidFill>
                  <a:srgbClr val="FF0000"/>
                </a:solidFill>
                <a:prstDash val="solid"/>
              </a:ln>
              <a:effectLst/>
            </c:spPr>
          </c:marker>
          <c:dLbls>
            <c:dLbl>
              <c:idx val="0"/>
              <c:layout>
                <c:manualLayout>
                  <c:x val="-3.5469056933920974E-2"/>
                  <c:y val="3.3757694420576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24-40FA-B567-4E61616348B4}"/>
                </c:ext>
              </c:extLst>
            </c:dLbl>
            <c:dLbl>
              <c:idx val="1"/>
              <c:layout>
                <c:manualLayout>
                  <c:x val="-3.5416728569306194E-2"/>
                  <c:y val="3.3028232830466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24-40FA-B567-4E61616348B4}"/>
                </c:ext>
              </c:extLst>
            </c:dLbl>
            <c:dLbl>
              <c:idx val="2"/>
              <c:layout>
                <c:manualLayout>
                  <c:x val="-3.5456016111193651E-2"/>
                  <c:y val="3.01845721878682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24-40FA-B567-4E61616348B4}"/>
                </c:ext>
              </c:extLst>
            </c:dLbl>
            <c:dLbl>
              <c:idx val="3"/>
              <c:layout>
                <c:manualLayout>
                  <c:x val="-3.5639412997903561E-2"/>
                  <c:y val="2.8945201170068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24-40FA-B567-4E61616348B4}"/>
                </c:ext>
              </c:extLst>
            </c:dLbl>
            <c:dLbl>
              <c:idx val="4"/>
              <c:layout>
                <c:manualLayout>
                  <c:x val="-3.5639412997903561E-2"/>
                  <c:y val="2.6237328562909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024-40FA-B567-4E61616348B4}"/>
                </c:ext>
              </c:extLst>
            </c:dLbl>
            <c:dLbl>
              <c:idx val="5"/>
              <c:layout>
                <c:manualLayout>
                  <c:x val="-3.5639412997903561E-2"/>
                  <c:y val="2.6237328562909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024-40FA-B567-4E61616348B4}"/>
                </c:ext>
              </c:extLst>
            </c:dLbl>
            <c:spPr>
              <a:solidFill>
                <a:schemeClr val="bg1"/>
              </a:solidFill>
            </c:spPr>
            <c:txPr>
              <a:bodyPr/>
              <a:lstStyle/>
              <a:p>
                <a:pPr>
                  <a:defRPr b="1">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Basic Model Tables for final 2020 (1).xlsx]Rezultat CPJ, CPC'!$B$8:$D$8</c:f>
              <c:numCache>
                <c:formatCode>General</c:formatCode>
                <c:ptCount val="3"/>
                <c:pt idx="0">
                  <c:v>2018</c:v>
                </c:pt>
                <c:pt idx="1">
                  <c:v>2019</c:v>
                </c:pt>
                <c:pt idx="2">
                  <c:v>2020</c:v>
                </c:pt>
              </c:numCache>
            </c:numRef>
          </c:cat>
          <c:val>
            <c:numRef>
              <c:f>'[! Basic Model Tables for final 2020 (1).xlsx]Rezultat CPJ, CPC'!$B$19:$E$19</c:f>
              <c:numCache>
                <c:formatCode>0.00</c:formatCode>
                <c:ptCount val="3"/>
                <c:pt idx="0">
                  <c:v>2.0394736842105265</c:v>
                </c:pt>
                <c:pt idx="1">
                  <c:v>1.9666666666666666</c:v>
                </c:pt>
                <c:pt idx="2">
                  <c:v>1.9222222222222223</c:v>
                </c:pt>
              </c:numCache>
            </c:numRef>
          </c:val>
          <c:smooth val="1"/>
          <c:extLst>
            <c:ext xmlns:c16="http://schemas.microsoft.com/office/drawing/2014/chart" uri="{C3380CC4-5D6E-409C-BE32-E72D297353CC}">
              <c16:uniqueId val="{00000009-A024-40FA-B567-4E61616348B4}"/>
            </c:ext>
          </c:extLst>
        </c:ser>
        <c:ser>
          <c:idx val="6"/>
          <c:order val="4"/>
          <c:tx>
            <c:strRef>
              <c:f>'[! Basic Model Tables for final 2020 (1).xlsx]Rezultat CPJ, CPC'!$A$20</c:f>
              <c:strCache>
                <c:ptCount val="1"/>
                <c:pt idx="0">
                  <c:v>Rata personal non-judiciar / Judecător</c:v>
                </c:pt>
              </c:strCache>
            </c:strRef>
          </c:tx>
          <c:spPr>
            <a:ln w="38100">
              <a:solidFill>
                <a:srgbClr val="0000FF"/>
              </a:solidFill>
              <a:prstDash val="solid"/>
            </a:ln>
          </c:spPr>
          <c:marker>
            <c:symbol val="diamond"/>
            <c:size val="3"/>
            <c:spPr>
              <a:solidFill>
                <a:srgbClr val="0000FF"/>
              </a:solidFill>
              <a:ln w="9525">
                <a:noFill/>
              </a:ln>
            </c:spPr>
          </c:marker>
          <c:dLbls>
            <c:dLbl>
              <c:idx val="1"/>
              <c:layout>
                <c:manualLayout>
                  <c:x val="-3.4278789378549453E-2"/>
                  <c:y val="-3.5779523715057521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5.3773134786067101E-2"/>
                      <c:h val="3.9154950480628878E-2"/>
                    </c:manualLayout>
                  </c15:layout>
                </c:ext>
                <c:ext xmlns:c16="http://schemas.microsoft.com/office/drawing/2014/chart" uri="{C3380CC4-5D6E-409C-BE32-E72D297353CC}">
                  <c16:uniqueId val="{0000000A-A024-40FA-B567-4E61616348B4}"/>
                </c:ext>
              </c:extLst>
            </c:dLbl>
            <c:dLbl>
              <c:idx val="3"/>
              <c:layout>
                <c:manualLayout>
                  <c:x val="-2.9645997375328085E-2"/>
                  <c:y val="3.97453553599917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024-40FA-B567-4E61616348B4}"/>
                </c:ext>
              </c:extLst>
            </c:dLbl>
            <c:dLbl>
              <c:idx val="4"/>
              <c:layout>
                <c:manualLayout>
                  <c:x val="5.7708333333333335E-3"/>
                  <c:y val="-1.0148321623731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024-40FA-B567-4E61616348B4}"/>
                </c:ext>
              </c:extLst>
            </c:dLbl>
            <c:spPr>
              <a:solidFill>
                <a:sysClr val="window" lastClr="FFFFFF"/>
              </a:solidFill>
              <a:ln w="25400">
                <a:noFill/>
              </a:ln>
            </c:spPr>
            <c:txPr>
              <a:bodyPr/>
              <a:lstStyle/>
              <a:p>
                <a:pPr>
                  <a:defRPr sz="1000" b="1" i="0" u="none" strike="noStrike" baseline="0">
                    <a:solidFill>
                      <a:srgbClr val="0000FF"/>
                    </a:solidFill>
                    <a:latin typeface="Arial CE"/>
                    <a:ea typeface="Arial CE"/>
                    <a:cs typeface="Arial CE"/>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Basic Model Tables for final 2020 (1).xlsx]Rezultat CPJ, CPC'!$B$8:$D$8</c:f>
              <c:numCache>
                <c:formatCode>General</c:formatCode>
                <c:ptCount val="3"/>
                <c:pt idx="0">
                  <c:v>2018</c:v>
                </c:pt>
                <c:pt idx="1">
                  <c:v>2019</c:v>
                </c:pt>
                <c:pt idx="2">
                  <c:v>2020</c:v>
                </c:pt>
              </c:numCache>
            </c:numRef>
          </c:cat>
          <c:val>
            <c:numRef>
              <c:f>'[! Basic Model Tables for final 2020 (1).xlsx]Rezultat CPJ, CPC'!$B$20:$E$20</c:f>
              <c:numCache>
                <c:formatCode>#,##0.00;\(#,##0.00\)</c:formatCode>
                <c:ptCount val="3"/>
                <c:pt idx="0">
                  <c:v>2.2763157894736845</c:v>
                </c:pt>
                <c:pt idx="1">
                  <c:v>2</c:v>
                </c:pt>
                <c:pt idx="2">
                  <c:v>2.2222222222222223</c:v>
                </c:pt>
              </c:numCache>
            </c:numRef>
          </c:val>
          <c:smooth val="1"/>
          <c:extLst>
            <c:ext xmlns:c16="http://schemas.microsoft.com/office/drawing/2014/chart" uri="{C3380CC4-5D6E-409C-BE32-E72D297353CC}">
              <c16:uniqueId val="{0000000D-A024-40FA-B567-4E61616348B4}"/>
            </c:ext>
          </c:extLst>
        </c:ser>
        <c:ser>
          <c:idx val="4"/>
          <c:order val="5"/>
          <c:tx>
            <c:strRef>
              <c:f>'[! Basic Model Tables for final 2020 (1).xlsx]Rezultat CPJ, CPC'!$A$21</c:f>
              <c:strCache>
                <c:ptCount val="1"/>
                <c:pt idx="0">
                  <c:v>Rata angajați / Judecător</c:v>
                </c:pt>
              </c:strCache>
            </c:strRef>
          </c:tx>
          <c:spPr>
            <a:ln w="38100" cmpd="sng">
              <a:solidFill>
                <a:srgbClr val="7030A0"/>
              </a:solidFill>
            </a:ln>
          </c:spPr>
          <c:marker>
            <c:symbol val="diamond"/>
            <c:size val="2"/>
            <c:spPr>
              <a:solidFill>
                <a:srgbClr val="7030A0"/>
              </a:solidFill>
            </c:spPr>
          </c:marker>
          <c:dLbls>
            <c:dLbl>
              <c:idx val="0"/>
              <c:layout>
                <c:manualLayout>
                  <c:x val="-7.2916666666666644E-2"/>
                  <c:y val="-2.3529411764705882E-2"/>
                </c:manualLayout>
              </c:layout>
              <c:tx>
                <c:rich>
                  <a:bodyPr/>
                  <a:lstStyle/>
                  <a:p>
                    <a:pPr>
                      <a:defRPr b="1">
                        <a:solidFill>
                          <a:srgbClr val="7030A0"/>
                        </a:solidFill>
                      </a:defRPr>
                    </a:pPr>
                    <a:r>
                      <a:rPr lang="en-US" b="1">
                        <a:solidFill>
                          <a:srgbClr val="7030A0"/>
                        </a:solidFill>
                      </a:rPr>
                      <a:t>4,23</a:t>
                    </a:r>
                    <a:endParaRPr lang="en-US" b="1"/>
                  </a:p>
                </c:rich>
              </c:tx>
              <c:spPr>
                <a:solidFill>
                  <a:sysClr val="window" lastClr="FFFFFF"/>
                </a:solidFill>
                <a:ln cmpd="sng"/>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024-40FA-B567-4E61616348B4}"/>
                </c:ext>
              </c:extLst>
            </c:dLbl>
            <c:dLbl>
              <c:idx val="1"/>
              <c:layout>
                <c:manualLayout>
                  <c:x val="-4.5898908862807244E-2"/>
                  <c:y val="-2.99554416163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024-40FA-B567-4E61616348B4}"/>
                </c:ext>
              </c:extLst>
            </c:dLbl>
            <c:dLbl>
              <c:idx val="2"/>
              <c:layout>
                <c:manualLayout>
                  <c:x val="-3.9583333333333331E-2"/>
                  <c:y val="-3.9215686274509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024-40FA-B567-4E61616348B4}"/>
                </c:ext>
              </c:extLst>
            </c:dLbl>
            <c:dLbl>
              <c:idx val="3"/>
              <c:layout>
                <c:manualLayout>
                  <c:x val="-2.6965615147163207E-2"/>
                  <c:y val="-2.9174331741627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024-40FA-B567-4E61616348B4}"/>
                </c:ext>
              </c:extLst>
            </c:dLbl>
            <c:dLbl>
              <c:idx val="4"/>
              <c:layout>
                <c:manualLayout>
                  <c:x val="-6.250000000000000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024-40FA-B567-4E61616348B4}"/>
                </c:ext>
              </c:extLst>
            </c:dLbl>
            <c:spPr>
              <a:solidFill>
                <a:sysClr val="window" lastClr="FFFFFF"/>
              </a:solidFill>
            </c:spPr>
            <c:txPr>
              <a:bodyPr/>
              <a:lstStyle/>
              <a:p>
                <a:pPr>
                  <a:defRPr b="1">
                    <a:solidFill>
                      <a:srgbClr val="7030A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 Basic Model Tables for final 2020 (1).xlsx]Rezultat CPJ, CPC'!$B$21:$E$21</c:f>
              <c:numCache>
                <c:formatCode>#,##0.00;\(#,##0.00\)</c:formatCode>
                <c:ptCount val="3"/>
                <c:pt idx="0">
                  <c:v>4.3157894736842106</c:v>
                </c:pt>
                <c:pt idx="1">
                  <c:v>3.9666666666666668</c:v>
                </c:pt>
                <c:pt idx="2">
                  <c:v>4.1444444444444439</c:v>
                </c:pt>
              </c:numCache>
            </c:numRef>
          </c:val>
          <c:smooth val="1"/>
          <c:extLst>
            <c:ext xmlns:c16="http://schemas.microsoft.com/office/drawing/2014/chart" uri="{C3380CC4-5D6E-409C-BE32-E72D297353CC}">
              <c16:uniqueId val="{00000013-A024-40FA-B567-4E61616348B4}"/>
            </c:ext>
          </c:extLst>
        </c:ser>
        <c:dLbls>
          <c:showLegendKey val="0"/>
          <c:showVal val="0"/>
          <c:showCatName val="0"/>
          <c:showSerName val="0"/>
          <c:showPercent val="0"/>
          <c:showBubbleSize val="0"/>
        </c:dLbls>
        <c:marker val="1"/>
        <c:smooth val="0"/>
        <c:axId val="175660816"/>
        <c:axId val="175661376"/>
      </c:lineChart>
      <c:catAx>
        <c:axId val="17530339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E"/>
                <a:ea typeface="Arial CE"/>
                <a:cs typeface="Arial CE"/>
              </a:defRPr>
            </a:pPr>
            <a:endParaRPr lang="ru-RU"/>
          </a:p>
        </c:txPr>
        <c:crossAx val="175303952"/>
        <c:crosses val="autoZero"/>
        <c:auto val="0"/>
        <c:lblAlgn val="ctr"/>
        <c:lblOffset val="100"/>
        <c:tickLblSkip val="1"/>
        <c:tickMarkSkip val="1"/>
        <c:noMultiLvlLbl val="0"/>
      </c:catAx>
      <c:valAx>
        <c:axId val="175303952"/>
        <c:scaling>
          <c:orientation val="minMax"/>
        </c:scaling>
        <c:delete val="0"/>
        <c:axPos val="l"/>
        <c:majorGridlines>
          <c:spPr>
            <a:ln w="3175">
              <a:solidFill>
                <a:srgbClr val="C0C0C0"/>
              </a:solidFill>
              <a:prstDash val="solid"/>
            </a:ln>
          </c:spPr>
        </c:majorGridlines>
        <c:title>
          <c:tx>
            <c:rich>
              <a:bodyPr/>
              <a:lstStyle/>
              <a:p>
                <a:pPr>
                  <a:defRPr sz="900" b="0" i="0" u="none" strike="noStrike" baseline="0">
                    <a:solidFill>
                      <a:srgbClr val="000000"/>
                    </a:solidFill>
                    <a:latin typeface="Arial CE"/>
                    <a:ea typeface="Arial CE"/>
                    <a:cs typeface="Arial CE"/>
                  </a:defRPr>
                </a:pPr>
                <a:r>
                  <a:rPr lang="ro-RO" sz="900"/>
                  <a:t>Numărul total de angajați</a:t>
                </a:r>
                <a:endParaRPr lang="en-GB" sz="900"/>
              </a:p>
            </c:rich>
          </c:tx>
          <c:layout>
            <c:manualLayout>
              <c:xMode val="edge"/>
              <c:yMode val="edge"/>
              <c:x val="5.6767196553261035E-3"/>
              <c:y val="0.31900799801599605"/>
            </c:manualLayout>
          </c:layout>
          <c:overlay val="0"/>
          <c:spPr>
            <a:noFill/>
            <a:ln w="25400">
              <a:noFill/>
            </a:ln>
          </c:spPr>
        </c:title>
        <c:numFmt formatCode="0.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75303392"/>
        <c:crosses val="autoZero"/>
        <c:crossBetween val="between"/>
      </c:valAx>
      <c:catAx>
        <c:axId val="175660816"/>
        <c:scaling>
          <c:orientation val="minMax"/>
        </c:scaling>
        <c:delete val="1"/>
        <c:axPos val="b"/>
        <c:numFmt formatCode="General" sourceLinked="1"/>
        <c:majorTickMark val="out"/>
        <c:minorTickMark val="none"/>
        <c:tickLblPos val="nextTo"/>
        <c:crossAx val="175661376"/>
        <c:crosses val="autoZero"/>
        <c:auto val="0"/>
        <c:lblAlgn val="ctr"/>
        <c:lblOffset val="100"/>
        <c:noMultiLvlLbl val="0"/>
      </c:catAx>
      <c:valAx>
        <c:axId val="175661376"/>
        <c:scaling>
          <c:orientation val="minMax"/>
        </c:scaling>
        <c:delete val="0"/>
        <c:axPos val="r"/>
        <c:title>
          <c:tx>
            <c:rich>
              <a:bodyPr rot="-5400000" vert="horz"/>
              <a:lstStyle/>
              <a:p>
                <a:pPr algn="ctr">
                  <a:defRPr sz="900"/>
                </a:pPr>
                <a:r>
                  <a:rPr lang="ro-RO" sz="900"/>
                  <a:t>Angajați per judecător</a:t>
                </a:r>
                <a:endParaRPr lang="en-GB" sz="900"/>
              </a:p>
            </c:rich>
          </c:tx>
          <c:layout>
            <c:manualLayout>
              <c:xMode val="edge"/>
              <c:yMode val="edge"/>
              <c:x val="0.95757968933128645"/>
              <c:y val="0.39147994295988597"/>
            </c:manualLayout>
          </c:layout>
          <c:overlay val="0"/>
        </c:title>
        <c:numFmt formatCode="0.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75660816"/>
        <c:crosses val="max"/>
        <c:crossBetween val="between"/>
      </c:valAx>
      <c:spPr>
        <a:solidFill>
          <a:srgbClr val="FFFFFF"/>
        </a:solidFill>
        <a:ln w="12700">
          <a:solidFill>
            <a:srgbClr val="808080"/>
          </a:solidFill>
          <a:prstDash val="solid"/>
        </a:ln>
      </c:spPr>
    </c:plotArea>
    <c:legend>
      <c:legendPos val="b"/>
      <c:layout>
        <c:manualLayout>
          <c:xMode val="edge"/>
          <c:yMode val="edge"/>
          <c:x val="0.10207035441324551"/>
          <c:y val="0.88581691152648856"/>
          <c:w val="0.80000295275590549"/>
          <c:h val="0.10941266509843693"/>
        </c:manualLayout>
      </c:layout>
      <c:overlay val="0"/>
      <c:spPr>
        <a:solidFill>
          <a:srgbClr val="FFFFFF"/>
        </a:solidFill>
        <a:ln w="25400">
          <a:noFill/>
        </a:ln>
      </c:spPr>
      <c:txPr>
        <a:bodyPr/>
        <a:lstStyle/>
        <a:p>
          <a:pPr>
            <a:defRPr sz="900" b="0" i="0" u="none" strike="noStrike" baseline="0">
              <a:solidFill>
                <a:srgbClr val="000000"/>
              </a:solidFill>
              <a:latin typeface="Arial CE"/>
              <a:ea typeface="Arial CE"/>
              <a:cs typeface="Arial CE"/>
            </a:defRPr>
          </a:pPr>
          <a:endParaRPr lang="ru-RU"/>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CE"/>
          <a:ea typeface="Arial CE"/>
          <a:cs typeface="Arial CE"/>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3296902160463248E-2"/>
          <c:y val="0.16103125997058435"/>
          <c:w val="0.95340615358959424"/>
          <c:h val="0.67251168634793923"/>
        </c:manualLayout>
      </c:layout>
      <c:lineChart>
        <c:grouping val="standard"/>
        <c:varyColors val="0"/>
        <c:ser>
          <c:idx val="0"/>
          <c:order val="0"/>
          <c:tx>
            <c:strRef>
              <c:f>Лист1!$B$1</c:f>
              <c:strCache>
                <c:ptCount val="1"/>
                <c:pt idx="0">
                  <c:v>RESTANTA LA INCEPUTUL PERIOADEI</c:v>
                </c:pt>
              </c:strCache>
            </c:strRef>
          </c:tx>
          <c:marker>
            <c:symbol val="none"/>
          </c:marker>
          <c:dLbls>
            <c:dLbl>
              <c:idx val="0"/>
              <c:layout>
                <c:manualLayout>
                  <c:x val="-4.3402777777777783E-2"/>
                  <c:y val="-5.9523809523809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4C-45B8-B56B-560592A0ED7E}"/>
                </c:ext>
              </c:extLst>
            </c:dLbl>
            <c:dLbl>
              <c:idx val="1"/>
              <c:layout>
                <c:manualLayout>
                  <c:x val="-4.1087962962962965E-2"/>
                  <c:y val="-5.9523809523809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4C-45B8-B56B-560592A0ED7E}"/>
                </c:ext>
              </c:extLst>
            </c:dLbl>
            <c:dLbl>
              <c:idx val="2"/>
              <c:layout>
                <c:manualLayout>
                  <c:x val="-3.5879629629629664E-2"/>
                  <c:y val="-5.1587301587301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4C-45B8-B56B-560592A0ED7E}"/>
                </c:ext>
              </c:extLst>
            </c:dLbl>
            <c:spPr>
              <a:noFill/>
              <a:ln w="25346">
                <a:noFill/>
              </a:ln>
            </c:spPr>
            <c:txPr>
              <a:bodyPr/>
              <a:lstStyle/>
              <a:p>
                <a:pPr>
                  <a:defRPr>
                    <a:solidFill>
                      <a:sysClr val="windowText" lastClr="000000"/>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2018</c:v>
                </c:pt>
                <c:pt idx="1">
                  <c:v>2019</c:v>
                </c:pt>
                <c:pt idx="2">
                  <c:v>2020</c:v>
                </c:pt>
              </c:numCache>
            </c:numRef>
          </c:cat>
          <c:val>
            <c:numRef>
              <c:f>Лист1!$B$2:$B$4</c:f>
              <c:numCache>
                <c:formatCode>General</c:formatCode>
                <c:ptCount val="3"/>
                <c:pt idx="0">
                  <c:v>19.5</c:v>
                </c:pt>
                <c:pt idx="1">
                  <c:v>12.6</c:v>
                </c:pt>
                <c:pt idx="2">
                  <c:v>10</c:v>
                </c:pt>
              </c:numCache>
            </c:numRef>
          </c:val>
          <c:smooth val="0"/>
          <c:extLst>
            <c:ext xmlns:c16="http://schemas.microsoft.com/office/drawing/2014/chart" uri="{C3380CC4-5D6E-409C-BE32-E72D297353CC}">
              <c16:uniqueId val="{00000003-C74C-45B8-B56B-560592A0ED7E}"/>
            </c:ext>
          </c:extLst>
        </c:ser>
        <c:ser>
          <c:idx val="1"/>
          <c:order val="1"/>
          <c:tx>
            <c:strRef>
              <c:f>Лист1!$C$1</c:f>
              <c:strCache>
                <c:ptCount val="1"/>
                <c:pt idx="0">
                  <c:v>NOI INREGISTRATE </c:v>
                </c:pt>
              </c:strCache>
            </c:strRef>
          </c:tx>
          <c:marker>
            <c:symbol val="none"/>
          </c:marker>
          <c:dLbls>
            <c:dLbl>
              <c:idx val="0"/>
              <c:layout>
                <c:manualLayout>
                  <c:x val="-3.9131961609140918E-2"/>
                  <c:y val="6.4027239112645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4C-45B8-B56B-560592A0ED7E}"/>
                </c:ext>
              </c:extLst>
            </c:dLbl>
            <c:dLbl>
              <c:idx val="1"/>
              <c:layout>
                <c:manualLayout>
                  <c:x val="-6.286868530919712E-2"/>
                  <c:y val="9.40804135671181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4C-45B8-B56B-560592A0ED7E}"/>
                </c:ext>
              </c:extLst>
            </c:dLbl>
            <c:dLbl>
              <c:idx val="2"/>
              <c:layout>
                <c:manualLayout>
                  <c:x val="-4.6364515226085763E-2"/>
                  <c:y val="8.97770120901098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4C-45B8-B56B-560592A0ED7E}"/>
                </c:ext>
              </c:extLst>
            </c:dLbl>
            <c:spPr>
              <a:noFill/>
              <a:ln w="25346">
                <a:noFill/>
              </a:ln>
            </c:spPr>
            <c:txPr>
              <a:bodyPr/>
              <a:lstStyle/>
              <a:p>
                <a:pPr>
                  <a:defRPr>
                    <a:solidFill>
                      <a:sysClr val="windowText" lastClr="000000"/>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2018</c:v>
                </c:pt>
                <c:pt idx="1">
                  <c:v>2019</c:v>
                </c:pt>
                <c:pt idx="2">
                  <c:v>2020</c:v>
                </c:pt>
              </c:numCache>
            </c:numRef>
          </c:cat>
          <c:val>
            <c:numRef>
              <c:f>Лист1!$C$2:$C$4</c:f>
              <c:numCache>
                <c:formatCode>General</c:formatCode>
                <c:ptCount val="3"/>
                <c:pt idx="0">
                  <c:v>80.400000000000006</c:v>
                </c:pt>
                <c:pt idx="1">
                  <c:v>87.4</c:v>
                </c:pt>
                <c:pt idx="2">
                  <c:v>90</c:v>
                </c:pt>
              </c:numCache>
            </c:numRef>
          </c:val>
          <c:smooth val="0"/>
          <c:extLst>
            <c:ext xmlns:c16="http://schemas.microsoft.com/office/drawing/2014/chart" uri="{C3380CC4-5D6E-409C-BE32-E72D297353CC}">
              <c16:uniqueId val="{00000007-C74C-45B8-B56B-560592A0ED7E}"/>
            </c:ext>
          </c:extLst>
        </c:ser>
        <c:dLbls>
          <c:showLegendKey val="0"/>
          <c:showVal val="0"/>
          <c:showCatName val="0"/>
          <c:showSerName val="0"/>
          <c:showPercent val="0"/>
          <c:showBubbleSize val="0"/>
        </c:dLbls>
        <c:smooth val="0"/>
        <c:axId val="173729680"/>
        <c:axId val="173730240"/>
      </c:lineChart>
      <c:catAx>
        <c:axId val="173729680"/>
        <c:scaling>
          <c:orientation val="minMax"/>
        </c:scaling>
        <c:delete val="0"/>
        <c:axPos val="b"/>
        <c:numFmt formatCode="General" sourceLinked="1"/>
        <c:majorTickMark val="none"/>
        <c:minorTickMark val="none"/>
        <c:tickLblPos val="nextTo"/>
        <c:txPr>
          <a:bodyPr/>
          <a:lstStyle/>
          <a:p>
            <a:pPr>
              <a:defRPr>
                <a:solidFill>
                  <a:sysClr val="windowText" lastClr="000000"/>
                </a:solidFill>
              </a:defRPr>
            </a:pPr>
            <a:endParaRPr lang="ru-RU"/>
          </a:p>
        </c:txPr>
        <c:crossAx val="173730240"/>
        <c:crosses val="autoZero"/>
        <c:auto val="1"/>
        <c:lblAlgn val="ctr"/>
        <c:lblOffset val="100"/>
        <c:noMultiLvlLbl val="0"/>
      </c:catAx>
      <c:valAx>
        <c:axId val="173730240"/>
        <c:scaling>
          <c:orientation val="minMax"/>
        </c:scaling>
        <c:delete val="1"/>
        <c:axPos val="l"/>
        <c:numFmt formatCode="General" sourceLinked="1"/>
        <c:majorTickMark val="out"/>
        <c:minorTickMark val="none"/>
        <c:tickLblPos val="nextTo"/>
        <c:crossAx val="173729680"/>
        <c:crosses val="autoZero"/>
        <c:crossBetween val="between"/>
      </c:valAx>
    </c:plotArea>
    <c:legend>
      <c:legendPos val="b"/>
      <c:layout>
        <c:manualLayout>
          <c:xMode val="edge"/>
          <c:yMode val="edge"/>
          <c:x val="0.15698506536523191"/>
          <c:y val="3.1432434582040884E-3"/>
          <c:w val="0.69470755452693023"/>
          <c:h val="0.1374723614093693"/>
        </c:manualLayout>
      </c:layout>
      <c:overlay val="0"/>
      <c:txPr>
        <a:bodyPr/>
        <a:lstStyle/>
        <a:p>
          <a:pPr>
            <a:defRPr>
              <a:solidFill>
                <a:sysClr val="windowText" lastClr="000000"/>
              </a:solidFill>
            </a:defRPr>
          </a:pPr>
          <a:endParaRPr lang="ru-RU"/>
        </a:p>
      </c:txPr>
    </c:legend>
    <c:plotVisOnly val="1"/>
    <c:dispBlanksAs val="gap"/>
    <c:showDLblsOverMax val="0"/>
  </c:chart>
  <c:txPr>
    <a:bodyPr/>
    <a:lstStyle/>
    <a:p>
      <a:pPr>
        <a:defRPr>
          <a:solidFill>
            <a:schemeClr val="tx2">
              <a:lumMod val="60000"/>
              <a:lumOff val="40000"/>
            </a:schemeClr>
          </a:solidFill>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0424169987839"/>
          <c:y val="0.15671993381779736"/>
          <c:w val="0.68180626807004552"/>
          <c:h val="0.84328006618220341"/>
        </c:manualLayout>
      </c:layout>
      <c:pieChart>
        <c:varyColors val="1"/>
        <c:ser>
          <c:idx val="0"/>
          <c:order val="0"/>
          <c:tx>
            <c:strRef>
              <c:f>Лист1!$B$1</c:f>
              <c:strCache>
                <c:ptCount val="1"/>
                <c:pt idx="0">
                  <c:v>2020</c:v>
                </c:pt>
              </c:strCache>
            </c:strRef>
          </c:tx>
          <c:dPt>
            <c:idx val="0"/>
            <c:bubble3D val="0"/>
            <c:extLst>
              <c:ext xmlns:c16="http://schemas.microsoft.com/office/drawing/2014/chart" uri="{C3380CC4-5D6E-409C-BE32-E72D297353CC}">
                <c16:uniqueId val="{00000000-A423-4D0D-8B1C-A91EC67B3CE5}"/>
              </c:ext>
            </c:extLst>
          </c:dPt>
          <c:dPt>
            <c:idx val="1"/>
            <c:bubble3D val="0"/>
            <c:extLst>
              <c:ext xmlns:c16="http://schemas.microsoft.com/office/drawing/2014/chart" uri="{C3380CC4-5D6E-409C-BE32-E72D297353CC}">
                <c16:uniqueId val="{00000001-A423-4D0D-8B1C-A91EC67B3CE5}"/>
              </c:ext>
            </c:extLst>
          </c:dPt>
          <c:dPt>
            <c:idx val="2"/>
            <c:bubble3D val="0"/>
            <c:extLst>
              <c:ext xmlns:c16="http://schemas.microsoft.com/office/drawing/2014/chart" uri="{C3380CC4-5D6E-409C-BE32-E72D297353CC}">
                <c16:uniqueId val="{00000002-A423-4D0D-8B1C-A91EC67B3CE5}"/>
              </c:ext>
            </c:extLst>
          </c:dPt>
          <c:dPt>
            <c:idx val="3"/>
            <c:bubble3D val="0"/>
            <c:extLst>
              <c:ext xmlns:c16="http://schemas.microsoft.com/office/drawing/2014/chart" uri="{C3380CC4-5D6E-409C-BE32-E72D297353CC}">
                <c16:uniqueId val="{00000003-A423-4D0D-8B1C-A91EC67B3CE5}"/>
              </c:ext>
            </c:extLst>
          </c:dPt>
          <c:dPt>
            <c:idx val="4"/>
            <c:bubble3D val="0"/>
            <c:extLst>
              <c:ext xmlns:c16="http://schemas.microsoft.com/office/drawing/2014/chart" uri="{C3380CC4-5D6E-409C-BE32-E72D297353CC}">
                <c16:uniqueId val="{00000004-A423-4D0D-8B1C-A91EC67B3CE5}"/>
              </c:ext>
            </c:extLst>
          </c:dPt>
          <c:dPt>
            <c:idx val="5"/>
            <c:bubble3D val="0"/>
            <c:extLst>
              <c:ext xmlns:c16="http://schemas.microsoft.com/office/drawing/2014/chart" uri="{C3380CC4-5D6E-409C-BE32-E72D297353CC}">
                <c16:uniqueId val="{00000005-A423-4D0D-8B1C-A91EC67B3CE5}"/>
              </c:ext>
            </c:extLst>
          </c:dPt>
          <c:dLbls>
            <c:dLbl>
              <c:idx val="0"/>
              <c:layout>
                <c:manualLayout>
                  <c:x val="-0.14296511557801087"/>
                  <c:y val="0.13254021465138641"/>
                </c:manualLayout>
              </c:layout>
              <c:tx>
                <c:rich>
                  <a:bodyPr/>
                  <a:lstStyle/>
                  <a:p>
                    <a:pPr>
                      <a:defRPr sz="785" b="1">
                        <a:latin typeface="Times New Roman" pitchFamily="18" charset="0"/>
                        <a:cs typeface="Times New Roman" pitchFamily="18" charset="0"/>
                      </a:defRPr>
                    </a:pPr>
                    <a:r>
                      <a:rPr lang="en-US" sz="899"/>
                      <a:t>Civile</a:t>
                    </a:r>
                  </a:p>
                  <a:p>
                    <a:pPr>
                      <a:defRPr sz="785" b="1">
                        <a:latin typeface="Times New Roman" pitchFamily="18" charset="0"/>
                        <a:cs typeface="Times New Roman" pitchFamily="18" charset="0"/>
                      </a:defRPr>
                    </a:pPr>
                    <a:r>
                      <a:rPr lang="en-US"/>
                      <a:t>20%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23-4D0D-8B1C-A91EC67B3CE5}"/>
                </c:ext>
              </c:extLst>
            </c:dLbl>
            <c:dLbl>
              <c:idx val="1"/>
              <c:layout>
                <c:manualLayout>
                  <c:x val="-3.331685377000157E-2"/>
                  <c:y val="6.6904706218653374E-3"/>
                </c:manualLayout>
              </c:layout>
              <c:tx>
                <c:rich>
                  <a:bodyPr/>
                  <a:lstStyle/>
                  <a:p>
                    <a:pPr>
                      <a:defRPr sz="785" b="1">
                        <a:latin typeface="Times New Roman" pitchFamily="18" charset="0"/>
                        <a:cs typeface="Times New Roman" pitchFamily="18" charset="0"/>
                      </a:defRPr>
                    </a:pPr>
                    <a:r>
                      <a:rPr lang="en-US" sz="899"/>
                      <a:t>Comerciale</a:t>
                    </a:r>
                    <a:r>
                      <a:rPr lang="en-US"/>
                      <a:t> </a:t>
                    </a:r>
                  </a:p>
                  <a:p>
                    <a:pPr>
                      <a:defRPr sz="785" b="1">
                        <a:latin typeface="Times New Roman" pitchFamily="18" charset="0"/>
                        <a:cs typeface="Times New Roman" pitchFamily="18" charset="0"/>
                      </a:defRPr>
                    </a:pPr>
                    <a:r>
                      <a:rPr lang="en-US"/>
                      <a:t>3%</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23-4D0D-8B1C-A91EC67B3CE5}"/>
                </c:ext>
              </c:extLst>
            </c:dLbl>
            <c:dLbl>
              <c:idx val="2"/>
              <c:layout>
                <c:manualLayout>
                  <c:x val="-2.9030077212783383E-2"/>
                  <c:y val="2.9540188664535744E-2"/>
                </c:manualLayout>
              </c:layout>
              <c:tx>
                <c:rich>
                  <a:bodyPr/>
                  <a:lstStyle/>
                  <a:p>
                    <a:pPr>
                      <a:defRPr sz="1048" b="1">
                        <a:latin typeface="Times New Roman" pitchFamily="18" charset="0"/>
                        <a:cs typeface="Times New Roman" pitchFamily="18" charset="0"/>
                      </a:defRPr>
                    </a:pPr>
                    <a:r>
                      <a:rPr lang="en-US" sz="899"/>
                      <a:t>Insolvabilitate </a:t>
                    </a:r>
                    <a:r>
                      <a:rPr lang="en-US"/>
                      <a:t>2%</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23-4D0D-8B1C-A91EC67B3CE5}"/>
                </c:ext>
              </c:extLst>
            </c:dLbl>
            <c:dLbl>
              <c:idx val="3"/>
              <c:layout>
                <c:manualLayout>
                  <c:x val="-4.8453131719943913E-2"/>
                  <c:y val="3.1872560484394977E-2"/>
                </c:manualLayout>
              </c:layout>
              <c:tx>
                <c:rich>
                  <a:bodyPr/>
                  <a:lstStyle/>
                  <a:p>
                    <a:pPr>
                      <a:defRPr sz="1048" b="1">
                        <a:latin typeface="Times New Roman" pitchFamily="18" charset="0"/>
                        <a:cs typeface="Times New Roman" pitchFamily="18" charset="0"/>
                      </a:defRPr>
                    </a:pPr>
                    <a:r>
                      <a:rPr lang="en-US" sz="899"/>
                      <a:t>Contencios administrativ </a:t>
                    </a:r>
                    <a:r>
                      <a:rPr lang="en-US"/>
                      <a:t>6%</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23-4D0D-8B1C-A91EC67B3CE5}"/>
                </c:ext>
              </c:extLst>
            </c:dLbl>
            <c:dLbl>
              <c:idx val="4"/>
              <c:layout>
                <c:manualLayout>
                  <c:x val="0.15180636111144638"/>
                  <c:y val="-0.282163561238014"/>
                </c:manualLayout>
              </c:layout>
              <c:tx>
                <c:rich>
                  <a:bodyPr/>
                  <a:lstStyle/>
                  <a:p>
                    <a:pPr>
                      <a:defRPr sz="1048" b="1">
                        <a:latin typeface="Times New Roman" pitchFamily="18" charset="0"/>
                        <a:cs typeface="Times New Roman" pitchFamily="18" charset="0"/>
                      </a:defRPr>
                    </a:pPr>
                    <a:r>
                      <a:rPr lang="en-US" sz="899" b="1">
                        <a:latin typeface="Times New Roman" pitchFamily="18" charset="0"/>
                        <a:cs typeface="Times New Roman" pitchFamily="18" charset="0"/>
                      </a:rPr>
                      <a:t>P</a:t>
                    </a:r>
                    <a:r>
                      <a:rPr lang="en-US" sz="899"/>
                      <a:t>enale</a:t>
                    </a:r>
                    <a:r>
                      <a:rPr lang="en-US"/>
                      <a:t> </a:t>
                    </a:r>
                    <a:r>
                      <a:rPr lang="en-US" sz="1048"/>
                      <a:t>59%</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23-4D0D-8B1C-A91EC67B3CE5}"/>
                </c:ext>
              </c:extLst>
            </c:dLbl>
            <c:dLbl>
              <c:idx val="5"/>
              <c:layout>
                <c:manualLayout>
                  <c:x val="0.11062144031383522"/>
                  <c:y val="0.14990525194251728"/>
                </c:manualLayout>
              </c:layout>
              <c:tx>
                <c:rich>
                  <a:bodyPr/>
                  <a:lstStyle/>
                  <a:p>
                    <a:pPr>
                      <a:defRPr sz="1048" b="1">
                        <a:latin typeface="Times New Roman" pitchFamily="18" charset="0"/>
                        <a:cs typeface="Times New Roman" pitchFamily="18" charset="0"/>
                      </a:defRPr>
                    </a:pPr>
                    <a:r>
                      <a:rPr lang="en-US" sz="899"/>
                      <a:t>Contraventional </a:t>
                    </a:r>
                    <a:r>
                      <a:rPr lang="en-US" sz="1048"/>
                      <a:t>10%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23-4D0D-8B1C-A91EC67B3CE5}"/>
                </c:ext>
              </c:extLst>
            </c:dLbl>
            <c:spPr>
              <a:noFill/>
              <a:ln>
                <a:noFill/>
              </a:ln>
              <a:effectLst/>
            </c:spPr>
            <c:txPr>
              <a:bodyPr/>
              <a:lstStyle/>
              <a:p>
                <a:pPr>
                  <a:defRPr sz="1048"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CIVILE</c:v>
                </c:pt>
                <c:pt idx="1">
                  <c:v>COMERCIALE</c:v>
                </c:pt>
                <c:pt idx="2">
                  <c:v>INSOLVABILITATE</c:v>
                </c:pt>
                <c:pt idx="3">
                  <c:v>CONTENCIOS ADMINISTRATIV</c:v>
                </c:pt>
                <c:pt idx="4">
                  <c:v>PENALE</c:v>
                </c:pt>
                <c:pt idx="5">
                  <c:v>CONTRAVENTIONALE</c:v>
                </c:pt>
              </c:strCache>
            </c:strRef>
          </c:cat>
          <c:val>
            <c:numRef>
              <c:f>Лист1!$B$2:$B$7</c:f>
              <c:numCache>
                <c:formatCode>0.00%</c:formatCode>
                <c:ptCount val="6"/>
                <c:pt idx="0" formatCode="0%">
                  <c:v>0.2</c:v>
                </c:pt>
                <c:pt idx="1">
                  <c:v>2.9000000000000001E-2</c:v>
                </c:pt>
                <c:pt idx="2">
                  <c:v>1.7000000000000001E-2</c:v>
                </c:pt>
                <c:pt idx="3">
                  <c:v>5.7000000000000002E-2</c:v>
                </c:pt>
                <c:pt idx="4">
                  <c:v>0.59199999999999997</c:v>
                </c:pt>
                <c:pt idx="5">
                  <c:v>0.104</c:v>
                </c:pt>
              </c:numCache>
            </c:numRef>
          </c:val>
          <c:extLst>
            <c:ext xmlns:c16="http://schemas.microsoft.com/office/drawing/2014/chart" uri="{C3380CC4-5D6E-409C-BE32-E72D297353CC}">
              <c16:uniqueId val="{00000006-A423-4D0D-8B1C-A91EC67B3CE5}"/>
            </c:ext>
          </c:extLst>
        </c:ser>
        <c:dLbls>
          <c:showLegendKey val="0"/>
          <c:showVal val="0"/>
          <c:showCatName val="0"/>
          <c:showSerName val="0"/>
          <c:showPercent val="1"/>
          <c:showBubbleSize val="0"/>
          <c:showLeaderLines val="1"/>
        </c:dLbls>
        <c:firstSliceAng val="0"/>
      </c:pieChart>
      <c:spPr>
        <a:noFill/>
        <a:ln w="19020">
          <a:noFill/>
        </a:ln>
      </c:spPr>
    </c:plotArea>
    <c:legend>
      <c:legendPos val="t"/>
      <c:overlay val="0"/>
      <c:txPr>
        <a:bodyPr/>
        <a:lstStyle/>
        <a:p>
          <a:pPr>
            <a:defRPr sz="674" b="1">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b="0" i="1"/>
            </a:pPr>
            <a:r>
              <a:rPr lang="en-US" b="0" i="1"/>
              <a:t>                      </a:t>
            </a:r>
            <a:r>
              <a:rPr lang="en-US" sz="1399" b="0" i="1"/>
              <a:t>2018                       2019                        2020  </a:t>
            </a:r>
            <a:endParaRPr lang="ru-RU" sz="1400" b="0" i="1"/>
          </a:p>
        </c:rich>
      </c:tx>
      <c:overlay val="0"/>
    </c:title>
    <c:autoTitleDeleted val="0"/>
    <c:plotArea>
      <c:layout>
        <c:manualLayout>
          <c:layoutTarget val="inner"/>
          <c:xMode val="edge"/>
          <c:yMode val="edge"/>
          <c:x val="3.1582051911609385E-2"/>
          <c:y val="9.7610658800686298E-2"/>
          <c:w val="0.74603456540561031"/>
          <c:h val="0.68604091819528601"/>
        </c:manualLayout>
      </c:layout>
      <c:lineChart>
        <c:grouping val="standard"/>
        <c:varyColors val="0"/>
        <c:ser>
          <c:idx val="0"/>
          <c:order val="0"/>
          <c:dLbls>
            <c:dLbl>
              <c:idx val="1"/>
              <c:layout>
                <c:manualLayout>
                  <c:x val="-8.000786484274372E-2"/>
                  <c:y val="-4.73001661092447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29-4567-B389-A0F27F8C9BFE}"/>
                </c:ext>
              </c:extLst>
            </c:dLbl>
            <c:dLbl>
              <c:idx val="2"/>
              <c:layout>
                <c:manualLayout>
                  <c:x val="-8.4218805097625027E-2"/>
                  <c:y val="-5.04535105165278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29-4567-B389-A0F27F8C9BFE}"/>
                </c:ext>
              </c:extLst>
            </c:dLbl>
            <c:dLbl>
              <c:idx val="3"/>
              <c:layout>
                <c:manualLayout>
                  <c:x val="-1.9206005889411074E-3"/>
                  <c:y val="1.9757638287441937E-3"/>
                </c:manualLayout>
              </c:layout>
              <c:tx>
                <c:rich>
                  <a:bodyPr/>
                  <a:lstStyle/>
                  <a:p>
                    <a:r>
                      <a:rPr lang="en-US"/>
                      <a:t>60%</a:t>
                    </a:r>
                    <a:r>
                      <a:rPr lang="en-US" baseline="0"/>
                      <a:t>  </a:t>
                    </a:r>
                    <a:r>
                      <a:rPr lang="en-US"/>
                      <a:t>Penale</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29-4567-B389-A0F27F8C9BFE}"/>
                </c:ext>
              </c:extLst>
            </c:dLbl>
            <c:spPr>
              <a:noFill/>
              <a:ln w="25384">
                <a:noFill/>
              </a:ln>
            </c:spPr>
            <c:txPr>
              <a:bodyPr/>
              <a:lstStyle/>
              <a:p>
                <a:pPr>
                  <a:defRPr sz="13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Лист1!$A$1:$D$1</c:f>
              <c:strCache>
                <c:ptCount val="4"/>
                <c:pt idx="0">
                  <c:v> </c:v>
                </c:pt>
                <c:pt idx="1">
                  <c:v>2018</c:v>
                </c:pt>
                <c:pt idx="2">
                  <c:v>2019</c:v>
                </c:pt>
                <c:pt idx="3">
                  <c:v>2020</c:v>
                </c:pt>
              </c:strCache>
            </c:strRef>
          </c:cat>
          <c:val>
            <c:numRef>
              <c:f>Лист1!$A$2:$D$2</c:f>
              <c:numCache>
                <c:formatCode>0%</c:formatCode>
                <c:ptCount val="4"/>
                <c:pt idx="0" formatCode="General">
                  <c:v>0</c:v>
                </c:pt>
                <c:pt idx="1">
                  <c:v>0.49</c:v>
                </c:pt>
                <c:pt idx="2">
                  <c:v>0.56000000000000005</c:v>
                </c:pt>
                <c:pt idx="3">
                  <c:v>0.6</c:v>
                </c:pt>
              </c:numCache>
            </c:numRef>
          </c:val>
          <c:smooth val="0"/>
          <c:extLst>
            <c:ext xmlns:c16="http://schemas.microsoft.com/office/drawing/2014/chart" uri="{C3380CC4-5D6E-409C-BE32-E72D297353CC}">
              <c16:uniqueId val="{00000003-6F29-4567-B389-A0F27F8C9BFE}"/>
            </c:ext>
          </c:extLst>
        </c:ser>
        <c:ser>
          <c:idx val="1"/>
          <c:order val="1"/>
          <c:dLbls>
            <c:dLbl>
              <c:idx val="1"/>
              <c:layout>
                <c:manualLayout>
                  <c:x val="-4.0003932421371922E-2"/>
                  <c:y val="-4.41468217019617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29-4567-B389-A0F27F8C9BFE}"/>
                </c:ext>
              </c:extLst>
            </c:dLbl>
            <c:dLbl>
              <c:idx val="2"/>
              <c:layout>
                <c:manualLayout>
                  <c:x val="-4.8425812931134384E-2"/>
                  <c:y val="-5.67601993310938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29-4567-B389-A0F27F8C9BFE}"/>
                </c:ext>
              </c:extLst>
            </c:dLbl>
            <c:dLbl>
              <c:idx val="3"/>
              <c:layout>
                <c:manualLayout>
                  <c:x val="2.5900721146680343E-3"/>
                  <c:y val="-3.1993136110086769E-3"/>
                </c:manualLayout>
              </c:layout>
              <c:tx>
                <c:rich>
                  <a:bodyPr/>
                  <a:lstStyle/>
                  <a:p>
                    <a:r>
                      <a:rPr lang="en-US"/>
                      <a:t>20% </a:t>
                    </a:r>
                    <a:r>
                      <a:rPr lang="en-US" baseline="0"/>
                      <a:t>  </a:t>
                    </a:r>
                    <a:r>
                      <a:rPr lang="en-US"/>
                      <a:t>Civile</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29-4567-B389-A0F27F8C9BFE}"/>
                </c:ext>
              </c:extLst>
            </c:dLbl>
            <c:spPr>
              <a:noFill/>
              <a:ln w="25384">
                <a:noFill/>
              </a:ln>
            </c:spPr>
            <c:txPr>
              <a:bodyPr/>
              <a:lstStyle/>
              <a:p>
                <a:pPr>
                  <a:defRPr sz="13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Лист1!$A$1:$D$1</c:f>
              <c:strCache>
                <c:ptCount val="4"/>
                <c:pt idx="0">
                  <c:v> </c:v>
                </c:pt>
                <c:pt idx="1">
                  <c:v>2018</c:v>
                </c:pt>
                <c:pt idx="2">
                  <c:v>2019</c:v>
                </c:pt>
                <c:pt idx="3">
                  <c:v>2020</c:v>
                </c:pt>
              </c:strCache>
            </c:strRef>
          </c:cat>
          <c:val>
            <c:numRef>
              <c:f>Лист1!$A$3:$D$3</c:f>
              <c:numCache>
                <c:formatCode>0%</c:formatCode>
                <c:ptCount val="4"/>
                <c:pt idx="0" formatCode="General">
                  <c:v>0</c:v>
                </c:pt>
                <c:pt idx="1">
                  <c:v>0.25</c:v>
                </c:pt>
                <c:pt idx="2">
                  <c:v>0.23</c:v>
                </c:pt>
                <c:pt idx="3">
                  <c:v>0.2</c:v>
                </c:pt>
              </c:numCache>
            </c:numRef>
          </c:val>
          <c:smooth val="0"/>
          <c:extLst>
            <c:ext xmlns:c16="http://schemas.microsoft.com/office/drawing/2014/chart" uri="{C3380CC4-5D6E-409C-BE32-E72D297353CC}">
              <c16:uniqueId val="{00000007-6F29-4567-B389-A0F27F8C9BFE}"/>
            </c:ext>
          </c:extLst>
        </c:ser>
        <c:ser>
          <c:idx val="2"/>
          <c:order val="2"/>
          <c:dLbls>
            <c:dLbl>
              <c:idx val="1"/>
              <c:layout>
                <c:manualLayout>
                  <c:x val="-5.2636753186015593E-2"/>
                  <c:y val="-3.7840132887395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29-4567-B389-A0F27F8C9BFE}"/>
                </c:ext>
              </c:extLst>
            </c:dLbl>
            <c:dLbl>
              <c:idx val="2"/>
              <c:layout>
                <c:manualLayout>
                  <c:x val="-6.9480514205540925E-2"/>
                  <c:y val="-4.41468217019617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29-4567-B389-A0F27F8C9BFE}"/>
                </c:ext>
              </c:extLst>
            </c:dLbl>
            <c:dLbl>
              <c:idx val="3"/>
              <c:layout>
                <c:manualLayout>
                  <c:x val="-1.4348468417495718E-3"/>
                  <c:y val="-1.5991422463944586E-2"/>
                </c:manualLayout>
              </c:layout>
              <c:tx>
                <c:rich>
                  <a:bodyPr/>
                  <a:lstStyle/>
                  <a:p>
                    <a:pPr>
                      <a:defRPr sz="1398" b="1">
                        <a:latin typeface="Times New Roman" pitchFamily="18" charset="0"/>
                        <a:cs typeface="Times New Roman" pitchFamily="18" charset="0"/>
                      </a:defRPr>
                    </a:pPr>
                    <a:r>
                      <a:rPr lang="en-US"/>
                      <a:t>11% Contraventi</a:t>
                    </a:r>
                    <a:r>
                      <a:rPr lang="en-US">
                        <a:latin typeface="Times New Roman"/>
                        <a:cs typeface="Times New Roman"/>
                      </a:rPr>
                      <a:t>onale</a:t>
                    </a:r>
                    <a:endParaRPr lang="en-US"/>
                  </a:p>
                </c:rich>
              </c:tx>
              <c:spPr>
                <a:noFill/>
                <a:ln w="25384">
                  <a:noFill/>
                </a:ln>
              </c:spPr>
              <c:dLblPos val="r"/>
              <c:showLegendKey val="0"/>
              <c:showVal val="0"/>
              <c:showCatName val="0"/>
              <c:showSerName val="0"/>
              <c:showPercent val="0"/>
              <c:showBubbleSize val="0"/>
              <c:extLst>
                <c:ext xmlns:c15="http://schemas.microsoft.com/office/drawing/2012/chart" uri="{CE6537A1-D6FC-4f65-9D91-7224C49458BB}">
                  <c15:layout>
                    <c:manualLayout>
                      <c:w val="0.28413849466421481"/>
                      <c:h val="0.12453608247422679"/>
                    </c:manualLayout>
                  </c15:layout>
                </c:ext>
                <c:ext xmlns:c16="http://schemas.microsoft.com/office/drawing/2014/chart" uri="{C3380CC4-5D6E-409C-BE32-E72D297353CC}">
                  <c16:uniqueId val="{0000000A-6F29-4567-B389-A0F27F8C9BFE}"/>
                </c:ext>
              </c:extLst>
            </c:dLbl>
            <c:spPr>
              <a:noFill/>
              <a:ln w="25384">
                <a:noFill/>
              </a:ln>
            </c:spPr>
            <c:txPr>
              <a:bodyPr/>
              <a:lstStyle/>
              <a:p>
                <a:pPr>
                  <a:defRPr sz="13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Лист1!$A$1:$D$1</c:f>
              <c:strCache>
                <c:ptCount val="4"/>
                <c:pt idx="0">
                  <c:v> </c:v>
                </c:pt>
                <c:pt idx="1">
                  <c:v>2018</c:v>
                </c:pt>
                <c:pt idx="2">
                  <c:v>2019</c:v>
                </c:pt>
                <c:pt idx="3">
                  <c:v>2020</c:v>
                </c:pt>
              </c:strCache>
            </c:strRef>
          </c:cat>
          <c:val>
            <c:numRef>
              <c:f>Лист1!$A$4:$D$4</c:f>
              <c:numCache>
                <c:formatCode>0%</c:formatCode>
                <c:ptCount val="4"/>
                <c:pt idx="0" formatCode="General">
                  <c:v>0</c:v>
                </c:pt>
                <c:pt idx="1">
                  <c:v>0.09</c:v>
                </c:pt>
                <c:pt idx="2">
                  <c:v>0.09</c:v>
                </c:pt>
                <c:pt idx="3">
                  <c:v>0.11</c:v>
                </c:pt>
              </c:numCache>
            </c:numRef>
          </c:val>
          <c:smooth val="0"/>
          <c:extLst>
            <c:ext xmlns:c16="http://schemas.microsoft.com/office/drawing/2014/chart" uri="{C3380CC4-5D6E-409C-BE32-E72D297353CC}">
              <c16:uniqueId val="{0000000B-6F29-4567-B389-A0F27F8C9BFE}"/>
            </c:ext>
          </c:extLst>
        </c:ser>
        <c:ser>
          <c:idx val="3"/>
          <c:order val="3"/>
          <c:dLbls>
            <c:dLbl>
              <c:idx val="1"/>
              <c:layout>
                <c:manualLayout>
                  <c:x val="-3.281574229837602E-2"/>
                  <c:y val="3.72347400236761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F29-4567-B389-A0F27F8C9BFE}"/>
                </c:ext>
              </c:extLst>
            </c:dLbl>
            <c:dLbl>
              <c:idx val="3"/>
              <c:layout>
                <c:manualLayout>
                  <c:x val="-9.8739528816382989E-3"/>
                  <c:y val="-2.0657520902670673E-2"/>
                </c:manualLayout>
              </c:layout>
              <c:tx>
                <c:rich>
                  <a:bodyPr/>
                  <a:lstStyle/>
                  <a:p>
                    <a:r>
                      <a:rPr lang="en-US"/>
                      <a:t>3% Comerciale</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F29-4567-B389-A0F27F8C9BFE}"/>
                </c:ext>
              </c:extLst>
            </c:dLbl>
            <c:spPr>
              <a:noFill/>
              <a:ln w="25384">
                <a:noFill/>
              </a:ln>
            </c:spPr>
            <c:txPr>
              <a:bodyPr/>
              <a:lstStyle/>
              <a:p>
                <a:pPr>
                  <a:defRPr sz="13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Лист1!$A$1:$D$1</c:f>
              <c:strCache>
                <c:ptCount val="4"/>
                <c:pt idx="0">
                  <c:v> </c:v>
                </c:pt>
                <c:pt idx="1">
                  <c:v>2018</c:v>
                </c:pt>
                <c:pt idx="2">
                  <c:v>2019</c:v>
                </c:pt>
                <c:pt idx="3">
                  <c:v>2020</c:v>
                </c:pt>
              </c:strCache>
            </c:strRef>
          </c:cat>
          <c:val>
            <c:numRef>
              <c:f>Лист1!$A$5:$D$5</c:f>
              <c:numCache>
                <c:formatCode>0%</c:formatCode>
                <c:ptCount val="4"/>
                <c:pt idx="0" formatCode="General">
                  <c:v>0</c:v>
                </c:pt>
                <c:pt idx="1">
                  <c:v>0.05</c:v>
                </c:pt>
                <c:pt idx="2">
                  <c:v>0.04</c:v>
                </c:pt>
                <c:pt idx="3">
                  <c:v>0.03</c:v>
                </c:pt>
              </c:numCache>
            </c:numRef>
          </c:val>
          <c:smooth val="0"/>
          <c:extLst>
            <c:ext xmlns:c16="http://schemas.microsoft.com/office/drawing/2014/chart" uri="{C3380CC4-5D6E-409C-BE32-E72D297353CC}">
              <c16:uniqueId val="{0000000E-6F29-4567-B389-A0F27F8C9BFE}"/>
            </c:ext>
          </c:extLst>
        </c:ser>
        <c:ser>
          <c:idx val="4"/>
          <c:order val="4"/>
          <c:dLbls>
            <c:delete val="1"/>
          </c:dLbls>
          <c:cat>
            <c:strRef>
              <c:f>Лист1!$A$1:$D$1</c:f>
              <c:strCache>
                <c:ptCount val="4"/>
                <c:pt idx="0">
                  <c:v> </c:v>
                </c:pt>
                <c:pt idx="1">
                  <c:v>2018</c:v>
                </c:pt>
                <c:pt idx="2">
                  <c:v>2019</c:v>
                </c:pt>
                <c:pt idx="3">
                  <c:v>2020</c:v>
                </c:pt>
              </c:strCache>
            </c:strRef>
          </c:cat>
          <c:val>
            <c:numRef>
              <c:f>Лист1!$A$6:$D$6</c:f>
              <c:numCache>
                <c:formatCode>0%</c:formatCode>
                <c:ptCount val="4"/>
                <c:pt idx="0" formatCode="General">
                  <c:v>0</c:v>
                </c:pt>
                <c:pt idx="1">
                  <c:v>0.05</c:v>
                </c:pt>
                <c:pt idx="2">
                  <c:v>0.06</c:v>
                </c:pt>
                <c:pt idx="3">
                  <c:v>0.05</c:v>
                </c:pt>
              </c:numCache>
            </c:numRef>
          </c:val>
          <c:smooth val="0"/>
          <c:extLst>
            <c:ext xmlns:c16="http://schemas.microsoft.com/office/drawing/2014/chart" uri="{C3380CC4-5D6E-409C-BE32-E72D297353CC}">
              <c16:uniqueId val="{0000000F-6F29-4567-B389-A0F27F8C9BFE}"/>
            </c:ext>
          </c:extLst>
        </c:ser>
        <c:ser>
          <c:idx val="5"/>
          <c:order val="5"/>
          <c:dLbls>
            <c:dLbl>
              <c:idx val="1"/>
              <c:layout>
                <c:manualLayout>
                  <c:x val="-2.1054701274406252E-3"/>
                  <c:y val="-2.20734108509808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F29-4567-B389-A0F27F8C9BFE}"/>
                </c:ext>
              </c:extLst>
            </c:dLbl>
            <c:dLbl>
              <c:idx val="2"/>
              <c:layout>
                <c:manualLayout>
                  <c:x val="-7.3691454460421899E-2"/>
                  <c:y val="3.153344407282879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F29-4567-B389-A0F27F8C9BFE}"/>
                </c:ext>
              </c:extLst>
            </c:dLbl>
            <c:dLbl>
              <c:idx val="3"/>
              <c:layout>
                <c:manualLayout>
                  <c:x val="-3.7342951891492608E-2"/>
                  <c:y val="5.1971750953811187E-2"/>
                </c:manualLayout>
              </c:layout>
              <c:tx>
                <c:rich>
                  <a:bodyPr/>
                  <a:lstStyle/>
                  <a:p>
                    <a:r>
                      <a:rPr lang="en-US"/>
                      <a:t>2% Insolvabilitate</a:t>
                    </a:r>
                  </a:p>
                </c:rich>
              </c:tx>
              <c:dLblPos val="r"/>
              <c:showLegendKey val="0"/>
              <c:showVal val="0"/>
              <c:showCatName val="0"/>
              <c:showSerName val="0"/>
              <c:showPercent val="0"/>
              <c:showBubbleSize val="0"/>
              <c:extLst>
                <c:ext xmlns:c15="http://schemas.microsoft.com/office/drawing/2012/chart" uri="{CE6537A1-D6FC-4f65-9D91-7224C49458BB}">
                  <c15:layout>
                    <c:manualLayout>
                      <c:w val="0.23676646706586826"/>
                      <c:h val="8.6494845360824746E-2"/>
                    </c:manualLayout>
                  </c15:layout>
                </c:ext>
                <c:ext xmlns:c16="http://schemas.microsoft.com/office/drawing/2014/chart" uri="{C3380CC4-5D6E-409C-BE32-E72D297353CC}">
                  <c16:uniqueId val="{00000012-6F29-4567-B389-A0F27F8C9BFE}"/>
                </c:ext>
              </c:extLst>
            </c:dLbl>
            <c:spPr>
              <a:noFill/>
              <a:ln w="25384">
                <a:noFill/>
              </a:ln>
            </c:spPr>
            <c:txPr>
              <a:bodyPr/>
              <a:lstStyle/>
              <a:p>
                <a:pPr>
                  <a:defRPr sz="13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Лист1!$A$1:$D$1</c:f>
              <c:strCache>
                <c:ptCount val="4"/>
                <c:pt idx="0">
                  <c:v> </c:v>
                </c:pt>
                <c:pt idx="1">
                  <c:v>2018</c:v>
                </c:pt>
                <c:pt idx="2">
                  <c:v>2019</c:v>
                </c:pt>
                <c:pt idx="3">
                  <c:v>2020</c:v>
                </c:pt>
              </c:strCache>
            </c:strRef>
          </c:cat>
          <c:val>
            <c:numRef>
              <c:f>Лист1!$A$7:$D$7</c:f>
              <c:numCache>
                <c:formatCode>0%</c:formatCode>
                <c:ptCount val="4"/>
                <c:pt idx="0" formatCode="General">
                  <c:v>0</c:v>
                </c:pt>
                <c:pt idx="1">
                  <c:v>7.0000000000000007E-2</c:v>
                </c:pt>
                <c:pt idx="2">
                  <c:v>0.01</c:v>
                </c:pt>
                <c:pt idx="3">
                  <c:v>0.02</c:v>
                </c:pt>
              </c:numCache>
            </c:numRef>
          </c:val>
          <c:smooth val="0"/>
          <c:extLst>
            <c:ext xmlns:c16="http://schemas.microsoft.com/office/drawing/2014/chart" uri="{C3380CC4-5D6E-409C-BE32-E72D297353CC}">
              <c16:uniqueId val="{00000013-6F29-4567-B389-A0F27F8C9BFE}"/>
            </c:ext>
          </c:extLst>
        </c:ser>
        <c:ser>
          <c:idx val="6"/>
          <c:order val="6"/>
          <c:dLbls>
            <c:dLbl>
              <c:idx val="1"/>
              <c:delete val="1"/>
              <c:extLst>
                <c:ext xmlns:c15="http://schemas.microsoft.com/office/drawing/2012/chart" uri="{CE6537A1-D6FC-4f65-9D91-7224C49458BB}"/>
                <c:ext xmlns:c16="http://schemas.microsoft.com/office/drawing/2014/chart" uri="{C3380CC4-5D6E-409C-BE32-E72D297353CC}">
                  <c16:uniqueId val="{00000014-6F29-4567-B389-A0F27F8C9BFE}"/>
                </c:ext>
              </c:extLst>
            </c:dLbl>
            <c:spPr>
              <a:noFill/>
              <a:ln w="2538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Лист1!$A$1:$D$1</c:f>
              <c:strCache>
                <c:ptCount val="4"/>
                <c:pt idx="0">
                  <c:v> </c:v>
                </c:pt>
                <c:pt idx="1">
                  <c:v>2018</c:v>
                </c:pt>
                <c:pt idx="2">
                  <c:v>2019</c:v>
                </c:pt>
                <c:pt idx="3">
                  <c:v>2020</c:v>
                </c:pt>
              </c:strCache>
            </c:strRef>
          </c:cat>
          <c:val>
            <c:numRef>
              <c:f>Лист1!$A$8:$D$8</c:f>
              <c:numCache>
                <c:formatCode>General</c:formatCode>
                <c:ptCount val="4"/>
                <c:pt idx="1">
                  <c:v>0</c:v>
                </c:pt>
              </c:numCache>
            </c:numRef>
          </c:val>
          <c:smooth val="0"/>
          <c:extLst>
            <c:ext xmlns:c16="http://schemas.microsoft.com/office/drawing/2014/chart" uri="{C3380CC4-5D6E-409C-BE32-E72D297353CC}">
              <c16:uniqueId val="{00000015-6F29-4567-B389-A0F27F8C9BFE}"/>
            </c:ext>
          </c:extLst>
        </c:ser>
        <c:ser>
          <c:idx val="7"/>
          <c:order val="7"/>
          <c:dLbls>
            <c:spPr>
              <a:noFill/>
              <a:ln w="2538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Лист1!$A$1:$D$1</c:f>
              <c:strCache>
                <c:ptCount val="4"/>
                <c:pt idx="0">
                  <c:v> </c:v>
                </c:pt>
                <c:pt idx="1">
                  <c:v>2018</c:v>
                </c:pt>
                <c:pt idx="2">
                  <c:v>2019</c:v>
                </c:pt>
                <c:pt idx="3">
                  <c:v>2020</c:v>
                </c:pt>
              </c:strCache>
            </c:strRef>
          </c:cat>
          <c:val>
            <c:numRef>
              <c:f>Лист1!$A$9:$D$9</c:f>
              <c:numCache>
                <c:formatCode>General</c:formatCode>
                <c:ptCount val="4"/>
              </c:numCache>
            </c:numRef>
          </c:val>
          <c:smooth val="0"/>
          <c:extLst>
            <c:ext xmlns:c16="http://schemas.microsoft.com/office/drawing/2014/chart" uri="{C3380CC4-5D6E-409C-BE32-E72D297353CC}">
              <c16:uniqueId val="{00000016-6F29-4567-B389-A0F27F8C9BFE}"/>
            </c:ext>
          </c:extLst>
        </c:ser>
        <c:dLbls>
          <c:showLegendKey val="0"/>
          <c:showVal val="1"/>
          <c:showCatName val="0"/>
          <c:showSerName val="0"/>
          <c:showPercent val="0"/>
          <c:showBubbleSize val="0"/>
        </c:dLbls>
        <c:marker val="1"/>
        <c:smooth val="0"/>
        <c:axId val="174357792"/>
        <c:axId val="174358352"/>
      </c:lineChart>
      <c:catAx>
        <c:axId val="174357792"/>
        <c:scaling>
          <c:orientation val="minMax"/>
        </c:scaling>
        <c:delete val="1"/>
        <c:axPos val="b"/>
        <c:numFmt formatCode="General" sourceLinked="1"/>
        <c:majorTickMark val="out"/>
        <c:minorTickMark val="none"/>
        <c:tickLblPos val="nextTo"/>
        <c:crossAx val="174358352"/>
        <c:crosses val="autoZero"/>
        <c:auto val="1"/>
        <c:lblAlgn val="ctr"/>
        <c:lblOffset val="100"/>
        <c:noMultiLvlLbl val="0"/>
      </c:catAx>
      <c:valAx>
        <c:axId val="174358352"/>
        <c:scaling>
          <c:orientation val="minMax"/>
        </c:scaling>
        <c:delete val="1"/>
        <c:axPos val="l"/>
        <c:numFmt formatCode="General" sourceLinked="1"/>
        <c:majorTickMark val="out"/>
        <c:minorTickMark val="none"/>
        <c:tickLblPos val="nextTo"/>
        <c:crossAx val="17435779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a:t>
            </a:r>
            <a:r>
              <a:rPr lang="en-US">
                <a:latin typeface="Times New Roman" pitchFamily="18" charset="0"/>
                <a:cs typeface="Times New Roman" pitchFamily="18" charset="0"/>
              </a:rPr>
              <a:t>Anul 2020</a:t>
            </a:r>
          </a:p>
        </c:rich>
      </c:tx>
      <c:overlay val="0"/>
    </c:title>
    <c:autoTitleDeleted val="0"/>
    <c:plotArea>
      <c:layout/>
      <c:pieChart>
        <c:varyColors val="1"/>
        <c:ser>
          <c:idx val="0"/>
          <c:order val="0"/>
          <c:tx>
            <c:strRef>
              <c:f>Лист1!$B$1</c:f>
              <c:strCache>
                <c:ptCount val="1"/>
                <c:pt idx="0">
                  <c:v>2020</c:v>
                </c:pt>
              </c:strCache>
            </c:strRef>
          </c:tx>
          <c:dPt>
            <c:idx val="0"/>
            <c:bubble3D val="0"/>
            <c:extLst>
              <c:ext xmlns:c16="http://schemas.microsoft.com/office/drawing/2014/chart" uri="{C3380CC4-5D6E-409C-BE32-E72D297353CC}">
                <c16:uniqueId val="{00000000-7B51-45A2-92DB-A2A40C354DE7}"/>
              </c:ext>
            </c:extLst>
          </c:dPt>
          <c:dPt>
            <c:idx val="1"/>
            <c:bubble3D val="0"/>
            <c:extLst>
              <c:ext xmlns:c16="http://schemas.microsoft.com/office/drawing/2014/chart" uri="{C3380CC4-5D6E-409C-BE32-E72D297353CC}">
                <c16:uniqueId val="{00000001-7B51-45A2-92DB-A2A40C354DE7}"/>
              </c:ext>
            </c:extLst>
          </c:dPt>
          <c:dPt>
            <c:idx val="2"/>
            <c:bubble3D val="0"/>
            <c:extLst>
              <c:ext xmlns:c16="http://schemas.microsoft.com/office/drawing/2014/chart" uri="{C3380CC4-5D6E-409C-BE32-E72D297353CC}">
                <c16:uniqueId val="{00000002-7B51-45A2-92DB-A2A40C354DE7}"/>
              </c:ext>
            </c:extLst>
          </c:dPt>
          <c:dPt>
            <c:idx val="3"/>
            <c:bubble3D val="0"/>
            <c:extLst>
              <c:ext xmlns:c16="http://schemas.microsoft.com/office/drawing/2014/chart" uri="{C3380CC4-5D6E-409C-BE32-E72D297353CC}">
                <c16:uniqueId val="{00000003-7B51-45A2-92DB-A2A40C354DE7}"/>
              </c:ext>
            </c:extLst>
          </c:dPt>
          <c:dPt>
            <c:idx val="4"/>
            <c:bubble3D val="0"/>
            <c:extLst>
              <c:ext xmlns:c16="http://schemas.microsoft.com/office/drawing/2014/chart" uri="{C3380CC4-5D6E-409C-BE32-E72D297353CC}">
                <c16:uniqueId val="{00000004-7B51-45A2-92DB-A2A40C354DE7}"/>
              </c:ext>
            </c:extLst>
          </c:dPt>
          <c:dPt>
            <c:idx val="5"/>
            <c:bubble3D val="0"/>
            <c:extLst>
              <c:ext xmlns:c16="http://schemas.microsoft.com/office/drawing/2014/chart" uri="{C3380CC4-5D6E-409C-BE32-E72D297353CC}">
                <c16:uniqueId val="{00000005-7B51-45A2-92DB-A2A40C354DE7}"/>
              </c:ext>
            </c:extLst>
          </c:dPt>
          <c:dLbls>
            <c:dLbl>
              <c:idx val="0"/>
              <c:layout>
                <c:manualLayout>
                  <c:x val="2.3422943613296991E-2"/>
                  <c:y val="-1.0998809822634544E-2"/>
                </c:manualLayout>
              </c:layout>
              <c:tx>
                <c:rich>
                  <a:bodyPr/>
                  <a:lstStyle/>
                  <a:p>
                    <a:pPr>
                      <a:defRPr sz="1398" b="1">
                        <a:latin typeface="Times New Roman" pitchFamily="18" charset="0"/>
                        <a:cs typeface="Times New Roman" pitchFamily="18" charset="0"/>
                      </a:defRPr>
                    </a:pPr>
                    <a:r>
                      <a:rPr lang="en-US" sz="1399" b="1">
                        <a:latin typeface="Times New Roman" pitchFamily="18" charset="0"/>
                        <a:cs typeface="Times New Roman" pitchFamily="18" charset="0"/>
                      </a:rPr>
                      <a:t>C</a:t>
                    </a:r>
                    <a:r>
                      <a:rPr lang="en-US" sz="1199"/>
                      <a:t>ivile</a:t>
                    </a:r>
                  </a:p>
                  <a:p>
                    <a:pPr>
                      <a:defRPr sz="1398" b="1">
                        <a:latin typeface="Times New Roman" pitchFamily="18" charset="0"/>
                        <a:cs typeface="Times New Roman" pitchFamily="18" charset="0"/>
                      </a:defRPr>
                    </a:pPr>
                    <a:r>
                      <a:rPr lang="en-US"/>
                      <a:t>21%</a:t>
                    </a:r>
                  </a:p>
                </c:rich>
              </c:tx>
              <c:spPr>
                <a:noFill/>
                <a:ln w="25387">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51-45A2-92DB-A2A40C354DE7}"/>
                </c:ext>
              </c:extLst>
            </c:dLbl>
            <c:dLbl>
              <c:idx val="1"/>
              <c:tx>
                <c:rich>
                  <a:bodyPr/>
                  <a:lstStyle/>
                  <a:p>
                    <a:pPr>
                      <a:defRPr sz="1398" b="1">
                        <a:latin typeface="Times New Roman" pitchFamily="18" charset="0"/>
                        <a:cs typeface="Times New Roman" pitchFamily="18" charset="0"/>
                      </a:defRPr>
                    </a:pPr>
                    <a:r>
                      <a:rPr lang="en-US" sz="1399" b="1">
                        <a:latin typeface="Times New Roman" pitchFamily="18" charset="0"/>
                        <a:cs typeface="Times New Roman" pitchFamily="18" charset="0"/>
                      </a:rPr>
                      <a:t>C</a:t>
                    </a:r>
                    <a:r>
                      <a:rPr lang="en-US" sz="1199"/>
                      <a:t>omerciale</a:t>
                    </a:r>
                    <a:r>
                      <a:rPr lang="en-US"/>
                      <a:t> </a:t>
                    </a:r>
                  </a:p>
                  <a:p>
                    <a:pPr>
                      <a:defRPr sz="1398" b="1">
                        <a:latin typeface="Times New Roman" pitchFamily="18" charset="0"/>
                        <a:cs typeface="Times New Roman" pitchFamily="18" charset="0"/>
                      </a:defRPr>
                    </a:pPr>
                    <a:r>
                      <a:rPr lang="en-US"/>
                      <a:t>5%</a:t>
                    </a:r>
                  </a:p>
                </c:rich>
              </c:tx>
              <c:spPr>
                <a:noFill/>
                <a:ln w="25387">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51-45A2-92DB-A2A40C354DE7}"/>
                </c:ext>
              </c:extLst>
            </c:dLbl>
            <c:dLbl>
              <c:idx val="2"/>
              <c:layout>
                <c:manualLayout>
                  <c:x val="-3.0110376170237839E-3"/>
                  <c:y val="7.8111486064241994E-2"/>
                </c:manualLayout>
              </c:layout>
              <c:tx>
                <c:rich>
                  <a:bodyPr/>
                  <a:lstStyle/>
                  <a:p>
                    <a:r>
                      <a:rPr lang="en-US" sz="1399" b="1">
                        <a:latin typeface="Times New Roman" pitchFamily="18" charset="0"/>
                        <a:cs typeface="Times New Roman" pitchFamily="18" charset="0"/>
                      </a:rPr>
                      <a:t>I</a:t>
                    </a:r>
                    <a:r>
                      <a:rPr lang="en-US" sz="1199"/>
                      <a:t>nsolvabilitate </a:t>
                    </a:r>
                    <a:r>
                      <a:rPr lang="en-US"/>
                      <a:t>2%</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51-45A2-92DB-A2A40C354DE7}"/>
                </c:ext>
              </c:extLst>
            </c:dLbl>
            <c:dLbl>
              <c:idx val="3"/>
              <c:layout>
                <c:manualLayout>
                  <c:x val="-4.0822425845039027E-2"/>
                  <c:y val="0.10723513727450756"/>
                </c:manualLayout>
              </c:layout>
              <c:tx>
                <c:rich>
                  <a:bodyPr/>
                  <a:lstStyle/>
                  <a:p>
                    <a:r>
                      <a:rPr lang="en-US" sz="1399" b="1">
                        <a:latin typeface="Times New Roman" pitchFamily="18" charset="0"/>
                        <a:cs typeface="Times New Roman" pitchFamily="18" charset="0"/>
                      </a:rPr>
                      <a:t>C</a:t>
                    </a:r>
                    <a:r>
                      <a:rPr lang="en-US" sz="1199"/>
                      <a:t>ontencios administrativ </a:t>
                    </a:r>
                    <a:r>
                      <a:rPr lang="en-US" sz="1000"/>
                      <a:t>10</a:t>
                    </a:r>
                    <a:r>
                      <a:rPr lang="en-US"/>
                      <a:t>%</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51-45A2-92DB-A2A40C354DE7}"/>
                </c:ext>
              </c:extLst>
            </c:dLbl>
            <c:dLbl>
              <c:idx val="4"/>
              <c:layout>
                <c:manualLayout>
                  <c:x val="-5.3377033136614432E-2"/>
                  <c:y val="-0.18206127791239202"/>
                </c:manualLayout>
              </c:layout>
              <c:tx>
                <c:rich>
                  <a:bodyPr/>
                  <a:lstStyle/>
                  <a:p>
                    <a:r>
                      <a:rPr lang="en-US" sz="1399" b="1">
                        <a:latin typeface="Times New Roman" pitchFamily="18" charset="0"/>
                        <a:cs typeface="Times New Roman" pitchFamily="18" charset="0"/>
                      </a:rPr>
                      <a:t>P</a:t>
                    </a:r>
                    <a:r>
                      <a:rPr lang="en-US" sz="1199"/>
                      <a:t>enale</a:t>
                    </a:r>
                    <a:r>
                      <a:rPr lang="en-US"/>
                      <a:t> </a:t>
                    </a:r>
                    <a:r>
                      <a:rPr lang="en-US" sz="1399"/>
                      <a:t>54%</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51-45A2-92DB-A2A40C354DE7}"/>
                </c:ext>
              </c:extLst>
            </c:dLbl>
            <c:dLbl>
              <c:idx val="5"/>
              <c:tx>
                <c:rich>
                  <a:bodyPr/>
                  <a:lstStyle/>
                  <a:p>
                    <a:r>
                      <a:rPr lang="en-US" sz="1399" b="1">
                        <a:latin typeface="Times New Roman" pitchFamily="18" charset="0"/>
                        <a:cs typeface="Times New Roman" pitchFamily="18" charset="0"/>
                      </a:rPr>
                      <a:t>C</a:t>
                    </a:r>
                    <a:r>
                      <a:rPr lang="en-US" sz="1199"/>
                      <a:t>ontraventional </a:t>
                    </a:r>
                    <a:r>
                      <a:rPr lang="en-US" sz="1399"/>
                      <a:t>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51-45A2-92DB-A2A40C354DE7}"/>
                </c:ext>
              </c:extLst>
            </c:dLbl>
            <c:spPr>
              <a:noFill/>
              <a:ln w="25387">
                <a:noFill/>
              </a:ln>
            </c:spPr>
            <c:txPr>
              <a:bodyPr/>
              <a:lstStyle/>
              <a:p>
                <a:pPr>
                  <a:defRPr sz="1399" b="1">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Лист1!$A$2:$A$7</c:f>
              <c:strCache>
                <c:ptCount val="6"/>
                <c:pt idx="0">
                  <c:v>CIVILE</c:v>
                </c:pt>
                <c:pt idx="1">
                  <c:v>COMERCIALE</c:v>
                </c:pt>
                <c:pt idx="2">
                  <c:v>INSOLVABILITATE</c:v>
                </c:pt>
                <c:pt idx="3">
                  <c:v>CONTENCIOS ADMINISTRATIV</c:v>
                </c:pt>
                <c:pt idx="4">
                  <c:v>PENALE</c:v>
                </c:pt>
                <c:pt idx="5">
                  <c:v>CONTRAVENTIONALE</c:v>
                </c:pt>
              </c:strCache>
            </c:strRef>
          </c:cat>
          <c:val>
            <c:numRef>
              <c:f>Лист1!$B$2:$B$7</c:f>
              <c:numCache>
                <c:formatCode>0.00%</c:formatCode>
                <c:ptCount val="6"/>
                <c:pt idx="0" formatCode="0%">
                  <c:v>0.21</c:v>
                </c:pt>
                <c:pt idx="1">
                  <c:v>0.05</c:v>
                </c:pt>
                <c:pt idx="2">
                  <c:v>0.02</c:v>
                </c:pt>
                <c:pt idx="3">
                  <c:v>0.1</c:v>
                </c:pt>
                <c:pt idx="4">
                  <c:v>0.54</c:v>
                </c:pt>
                <c:pt idx="5">
                  <c:v>0.09</c:v>
                </c:pt>
              </c:numCache>
            </c:numRef>
          </c:val>
          <c:extLst>
            <c:ext xmlns:c16="http://schemas.microsoft.com/office/drawing/2014/chart" uri="{C3380CC4-5D6E-409C-BE32-E72D297353CC}">
              <c16:uniqueId val="{00000006-7B51-45A2-92DB-A2A40C354DE7}"/>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lvl="0" indent="0" algn="l" defTabSz="914400" rtl="0" eaLnBrk="1" fontAlgn="auto" latinLnBrk="0" hangingPunct="1">
              <a:lnSpc>
                <a:spcPct val="100000"/>
              </a:lnSpc>
              <a:spcBef>
                <a:spcPts val="0"/>
              </a:spcBef>
              <a:spcAft>
                <a:spcPts val="0"/>
              </a:spcAft>
              <a:buClrTx/>
              <a:buSzTx/>
              <a:buFontTx/>
              <a:buNone/>
              <a:tabLst/>
              <a:defRPr sz="1100" b="1" i="0" u="none" strike="noStrike" kern="1200" baseline="0">
                <a:solidFill>
                  <a:srgbClr val="000000"/>
                </a:solidFill>
                <a:latin typeface="Tahoma"/>
                <a:ea typeface="Tahoma"/>
                <a:cs typeface="Tahoma"/>
              </a:defRPr>
            </a:pPr>
            <a:r>
              <a:rPr lang="en-US" sz="1100" b="1" i="0" baseline="0">
                <a:solidFill>
                  <a:sysClr val="windowText" lastClr="000000"/>
                </a:solidFill>
                <a:effectLst/>
              </a:rPr>
              <a:t>Curtea de Apel Cahul</a:t>
            </a:r>
            <a:r>
              <a:rPr lang="en-GB" sz="1100" b="1" i="0" baseline="0">
                <a:solidFill>
                  <a:sysClr val="windowText" lastClr="000000"/>
                </a:solidFill>
                <a:effectLst/>
              </a:rPr>
              <a:t>: </a:t>
            </a:r>
            <a:r>
              <a:rPr lang="x-none" sz="1100" b="1" i="0" baseline="0">
                <a:effectLst/>
              </a:rPr>
              <a:t>M</a:t>
            </a:r>
            <a:r>
              <a:rPr lang="ro-RO" sz="1100" b="1" i="0" baseline="0">
                <a:effectLst/>
              </a:rPr>
              <a:t>ișcarea și durata estimată a lichidării stocului total de cauze </a:t>
            </a:r>
            <a:r>
              <a:rPr lang="en-GB" sz="1100"/>
              <a:t>  </a:t>
            </a:r>
          </a:p>
        </c:rich>
      </c:tx>
      <c:layout>
        <c:manualLayout>
          <c:xMode val="edge"/>
          <c:yMode val="edge"/>
          <c:x val="0.12915922797095852"/>
          <c:y val="2.3969797004138437E-2"/>
        </c:manualLayout>
      </c:layout>
      <c:overlay val="0"/>
      <c:spPr>
        <a:noFill/>
        <a:ln w="25400">
          <a:noFill/>
        </a:ln>
      </c:spPr>
    </c:title>
    <c:autoTitleDeleted val="0"/>
    <c:plotArea>
      <c:layout>
        <c:manualLayout>
          <c:layoutTarget val="inner"/>
          <c:xMode val="edge"/>
          <c:yMode val="edge"/>
          <c:x val="0.12377850162866449"/>
          <c:y val="0.14285751192933596"/>
          <c:w val="0.77524429967426711"/>
          <c:h val="0.67460491744408646"/>
        </c:manualLayout>
      </c:layout>
      <c:barChart>
        <c:barDir val="col"/>
        <c:grouping val="clustered"/>
        <c:varyColors val="0"/>
        <c:ser>
          <c:idx val="1"/>
          <c:order val="0"/>
          <c:tx>
            <c:strRef>
              <c:f>'[! Basic Model Tables for final 2020 (1).xlsx]Rezultat CR și DT'!$A$12</c:f>
              <c:strCache>
                <c:ptCount val="1"/>
                <c:pt idx="0">
                  <c:v>NOI</c:v>
                </c:pt>
              </c:strCache>
            </c:strRef>
          </c:tx>
          <c:spPr>
            <a:solidFill>
              <a:srgbClr val="99CCFF"/>
            </a:solidFill>
            <a:ln w="25400">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Basic Model Tables for final 2020 (1).xlsx]Rezultat CR și DT'!$B$11:$E$11</c:f>
              <c:numCache>
                <c:formatCode>General</c:formatCode>
                <c:ptCount val="3"/>
                <c:pt idx="0">
                  <c:v>2018</c:v>
                </c:pt>
                <c:pt idx="1">
                  <c:v>2019</c:v>
                </c:pt>
                <c:pt idx="2">
                  <c:v>2020</c:v>
                </c:pt>
              </c:numCache>
            </c:numRef>
          </c:cat>
          <c:val>
            <c:numRef>
              <c:f>'[! Basic Model Tables for final 2020 (1).xlsx]Rezultat CR și DT'!$B$12:$E$12</c:f>
              <c:numCache>
                <c:formatCode>#,##0;\(#,##0\)</c:formatCode>
                <c:ptCount val="3"/>
                <c:pt idx="0" formatCode="#,##0">
                  <c:v>1436</c:v>
                </c:pt>
                <c:pt idx="1">
                  <c:v>1559</c:v>
                </c:pt>
                <c:pt idx="2">
                  <c:v>1875</c:v>
                </c:pt>
              </c:numCache>
            </c:numRef>
          </c:val>
          <c:extLst>
            <c:ext xmlns:c16="http://schemas.microsoft.com/office/drawing/2014/chart" uri="{C3380CC4-5D6E-409C-BE32-E72D297353CC}">
              <c16:uniqueId val="{00000000-9A3F-4EF6-9743-7773CC31B35C}"/>
            </c:ext>
          </c:extLst>
        </c:ser>
        <c:ser>
          <c:idx val="0"/>
          <c:order val="1"/>
          <c:tx>
            <c:strRef>
              <c:f>'[! Basic Model Tables for final 2020 (1).xlsx]Rezultat CR și DT'!$A$13</c:f>
              <c:strCache>
                <c:ptCount val="1"/>
                <c:pt idx="0">
                  <c:v>SOLUȚIONATE</c:v>
                </c:pt>
              </c:strCache>
            </c:strRef>
          </c:tx>
          <c:spPr>
            <a:solidFill>
              <a:srgbClr val="0000FF"/>
            </a:solidFill>
            <a:ln w="25400">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Basic Model Tables for final 2020 (1).xlsx]Rezultat CR și DT'!$B$11:$E$11</c:f>
              <c:numCache>
                <c:formatCode>General</c:formatCode>
                <c:ptCount val="3"/>
                <c:pt idx="0">
                  <c:v>2018</c:v>
                </c:pt>
                <c:pt idx="1">
                  <c:v>2019</c:v>
                </c:pt>
                <c:pt idx="2">
                  <c:v>2020</c:v>
                </c:pt>
              </c:numCache>
            </c:numRef>
          </c:cat>
          <c:val>
            <c:numRef>
              <c:f>'[! Basic Model Tables for final 2020 (1).xlsx]Rezultat CR și DT'!$B$13:$E$13</c:f>
              <c:numCache>
                <c:formatCode>#,##0;\(#,##0\)</c:formatCode>
                <c:ptCount val="3"/>
                <c:pt idx="0" formatCode="#,##0">
                  <c:v>1560</c:v>
                </c:pt>
                <c:pt idx="1">
                  <c:v>1576</c:v>
                </c:pt>
                <c:pt idx="2">
                  <c:v>1818</c:v>
                </c:pt>
              </c:numCache>
            </c:numRef>
          </c:val>
          <c:extLst>
            <c:ext xmlns:c16="http://schemas.microsoft.com/office/drawing/2014/chart" uri="{C3380CC4-5D6E-409C-BE32-E72D297353CC}">
              <c16:uniqueId val="{00000001-9A3F-4EF6-9743-7773CC31B35C}"/>
            </c:ext>
          </c:extLst>
        </c:ser>
        <c:ser>
          <c:idx val="2"/>
          <c:order val="2"/>
          <c:tx>
            <c:strRef>
              <c:f>'[! Basic Model Tables for final 2020 (1).xlsx]Rezultat CR și DT'!$A$14</c:f>
              <c:strCache>
                <c:ptCount val="1"/>
                <c:pt idx="0">
                  <c:v>PENDINTE</c:v>
                </c:pt>
              </c:strCache>
            </c:strRef>
          </c:tx>
          <c:spPr>
            <a:solidFill>
              <a:srgbClr val="666699"/>
            </a:solidFill>
            <a:ln w="25400">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Basic Model Tables for final 2020 (1).xlsx]Rezultat CR și DT'!$B$11:$E$11</c:f>
              <c:numCache>
                <c:formatCode>General</c:formatCode>
                <c:ptCount val="3"/>
                <c:pt idx="0">
                  <c:v>2018</c:v>
                </c:pt>
                <c:pt idx="1">
                  <c:v>2019</c:v>
                </c:pt>
                <c:pt idx="2">
                  <c:v>2020</c:v>
                </c:pt>
              </c:numCache>
            </c:numRef>
          </c:cat>
          <c:val>
            <c:numRef>
              <c:f>'[! Basic Model Tables for final 2020 (1).xlsx]Rezultat CR și DT'!$B$14:$E$14</c:f>
              <c:numCache>
                <c:formatCode>#,##0;\(#,##0\)</c:formatCode>
                <c:ptCount val="3"/>
                <c:pt idx="0" formatCode="#,##0">
                  <c:v>225</c:v>
                </c:pt>
                <c:pt idx="1">
                  <c:v>208</c:v>
                </c:pt>
                <c:pt idx="2">
                  <c:v>265</c:v>
                </c:pt>
              </c:numCache>
            </c:numRef>
          </c:val>
          <c:extLst>
            <c:ext xmlns:c16="http://schemas.microsoft.com/office/drawing/2014/chart" uri="{C3380CC4-5D6E-409C-BE32-E72D297353CC}">
              <c16:uniqueId val="{00000002-9A3F-4EF6-9743-7773CC31B35C}"/>
            </c:ext>
          </c:extLst>
        </c:ser>
        <c:dLbls>
          <c:showLegendKey val="0"/>
          <c:showVal val="0"/>
          <c:showCatName val="0"/>
          <c:showSerName val="0"/>
          <c:showPercent val="0"/>
          <c:showBubbleSize val="0"/>
        </c:dLbls>
        <c:gapWidth val="150"/>
        <c:overlap val="-10"/>
        <c:axId val="174796448"/>
        <c:axId val="174797008"/>
      </c:barChart>
      <c:lineChart>
        <c:grouping val="standard"/>
        <c:varyColors val="0"/>
        <c:ser>
          <c:idx val="5"/>
          <c:order val="3"/>
          <c:tx>
            <c:strRef>
              <c:f>'[! Basic Model Tables for final 2020 (1).xlsx]Rezultat CR și DT'!$A$16</c:f>
              <c:strCache>
                <c:ptCount val="1"/>
                <c:pt idx="0">
                  <c:v>Durata lichidării stocului de cauze pendinte (DT)</c:v>
                </c:pt>
              </c:strCache>
            </c:strRef>
          </c:tx>
          <c:spPr>
            <a:ln w="38100">
              <a:solidFill>
                <a:srgbClr val="FFCC00"/>
              </a:solidFill>
              <a:prstDash val="solid"/>
            </a:ln>
          </c:spPr>
          <c:marker>
            <c:symbol val="circle"/>
            <c:size val="3"/>
            <c:spPr>
              <a:noFill/>
              <a:ln>
                <a:solidFill>
                  <a:srgbClr val="FFCC00"/>
                </a:solidFill>
                <a:prstDash val="solid"/>
              </a:ln>
            </c:spPr>
          </c:marker>
          <c:dLbls>
            <c:dLbl>
              <c:idx val="0"/>
              <c:layout>
                <c:manualLayout>
                  <c:x val="-3.517915309446254E-2"/>
                  <c:y val="-4.7384632476495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3F-4EF6-9743-7773CC31B35C}"/>
                </c:ext>
              </c:extLst>
            </c:dLbl>
            <c:dLbl>
              <c:idx val="1"/>
              <c:layout>
                <c:manualLayout>
                  <c:x val="1.2899022801302932E-2"/>
                  <c:y val="-3.79188712522045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3F-4EF6-9743-7773CC31B35C}"/>
                </c:ext>
              </c:extLst>
            </c:dLbl>
            <c:dLbl>
              <c:idx val="2"/>
              <c:layout>
                <c:manualLayout>
                  <c:x val="4.8859934853420261E-3"/>
                  <c:y val="-6.12872452750613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3F-4EF6-9743-7773CC31B35C}"/>
                </c:ext>
              </c:extLst>
            </c:dLbl>
            <c:dLbl>
              <c:idx val="3"/>
              <c:layout>
                <c:manualLayout>
                  <c:x val="9.4462540716612562E-3"/>
                  <c:y val="-3.386917675507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A3F-4EF6-9743-7773CC31B35C}"/>
                </c:ext>
              </c:extLst>
            </c:dLbl>
            <c:dLbl>
              <c:idx val="4"/>
              <c:layout>
                <c:manualLayout>
                  <c:x val="1.0749185667752478E-2"/>
                  <c:y val="-5.11231783639911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A3F-4EF6-9743-7773CC31B35C}"/>
                </c:ext>
              </c:extLst>
            </c:dLbl>
            <c:spPr>
              <a:solidFill>
                <a:schemeClr val="bg1"/>
              </a:solidFill>
              <a:ln w="25400">
                <a:noFill/>
              </a:ln>
            </c:spPr>
            <c:txPr>
              <a:bodyPr/>
              <a:lstStyle/>
              <a:p>
                <a:pPr>
                  <a:defRPr sz="1000" b="1" i="0" u="none" strike="noStrike" baseline="0">
                    <a:solidFill>
                      <a:srgbClr val="000000"/>
                    </a:solidFill>
                    <a:latin typeface="Arial CE"/>
                    <a:ea typeface="Arial CE"/>
                    <a:cs typeface="Arial CE"/>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Basic Model Tables for final 2020 (1).xlsx]Rezultat CR și DT'!$B$11:$E$11</c:f>
              <c:numCache>
                <c:formatCode>General</c:formatCode>
                <c:ptCount val="3"/>
                <c:pt idx="0">
                  <c:v>2018</c:v>
                </c:pt>
                <c:pt idx="1">
                  <c:v>2019</c:v>
                </c:pt>
                <c:pt idx="2">
                  <c:v>2020</c:v>
                </c:pt>
              </c:numCache>
            </c:numRef>
          </c:cat>
          <c:val>
            <c:numRef>
              <c:f>'[! Basic Model Tables for final 2020 (1).xlsx]Rezultat CR și DT'!$B$16:$E$16</c:f>
              <c:numCache>
                <c:formatCode>###0</c:formatCode>
                <c:ptCount val="3"/>
                <c:pt idx="0">
                  <c:v>52.644230769230766</c:v>
                </c:pt>
                <c:pt idx="1">
                  <c:v>48.172588832487314</c:v>
                </c:pt>
                <c:pt idx="2">
                  <c:v>53.204070407040703</c:v>
                </c:pt>
              </c:numCache>
            </c:numRef>
          </c:val>
          <c:smooth val="1"/>
          <c:extLst>
            <c:ext xmlns:c16="http://schemas.microsoft.com/office/drawing/2014/chart" uri="{C3380CC4-5D6E-409C-BE32-E72D297353CC}">
              <c16:uniqueId val="{00000008-9A3F-4EF6-9743-7773CC31B35C}"/>
            </c:ext>
          </c:extLst>
        </c:ser>
        <c:dLbls>
          <c:showLegendKey val="0"/>
          <c:showVal val="0"/>
          <c:showCatName val="0"/>
          <c:showSerName val="0"/>
          <c:showPercent val="0"/>
          <c:showBubbleSize val="0"/>
        </c:dLbls>
        <c:marker val="1"/>
        <c:smooth val="0"/>
        <c:axId val="174797568"/>
        <c:axId val="174798128"/>
      </c:lineChart>
      <c:catAx>
        <c:axId val="17479644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E"/>
                <a:ea typeface="Arial CE"/>
                <a:cs typeface="Arial CE"/>
              </a:defRPr>
            </a:pPr>
            <a:endParaRPr lang="ru-RU"/>
          </a:p>
        </c:txPr>
        <c:crossAx val="174797008"/>
        <c:crosses val="autoZero"/>
        <c:auto val="0"/>
        <c:lblAlgn val="ctr"/>
        <c:lblOffset val="100"/>
        <c:tickLblSkip val="1"/>
        <c:tickMarkSkip val="1"/>
        <c:noMultiLvlLbl val="0"/>
      </c:catAx>
      <c:valAx>
        <c:axId val="174797008"/>
        <c:scaling>
          <c:orientation val="minMax"/>
        </c:scaling>
        <c:delete val="0"/>
        <c:axPos val="l"/>
        <c:majorGridlines>
          <c:spPr>
            <a:ln w="3175">
              <a:solidFill>
                <a:srgbClr val="C0C0C0"/>
              </a:solidFill>
              <a:prstDash val="solid"/>
            </a:ln>
          </c:spPr>
        </c:majorGridlines>
        <c:title>
          <c:tx>
            <c:rich>
              <a:bodyPr/>
              <a:lstStyle/>
              <a:p>
                <a:pPr>
                  <a:defRPr sz="800" b="0" i="0" u="none" strike="noStrike" baseline="0">
                    <a:solidFill>
                      <a:srgbClr val="000000"/>
                    </a:solidFill>
                    <a:latin typeface="Arial CE"/>
                    <a:ea typeface="Arial CE"/>
                    <a:cs typeface="Arial CE"/>
                  </a:defRPr>
                </a:pPr>
                <a:r>
                  <a:rPr lang="en-GB"/>
                  <a:t>Number of cases</a:t>
                </a:r>
              </a:p>
            </c:rich>
          </c:tx>
          <c:layout>
            <c:manualLayout>
              <c:xMode val="edge"/>
              <c:yMode val="edge"/>
              <c:x val="2.9315960912052116E-2"/>
              <c:y val="0.36508019830854477"/>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74796448"/>
        <c:crosses val="autoZero"/>
        <c:crossBetween val="between"/>
      </c:valAx>
      <c:catAx>
        <c:axId val="174797568"/>
        <c:scaling>
          <c:orientation val="minMax"/>
        </c:scaling>
        <c:delete val="1"/>
        <c:axPos val="b"/>
        <c:numFmt formatCode="General" sourceLinked="1"/>
        <c:majorTickMark val="out"/>
        <c:minorTickMark val="none"/>
        <c:tickLblPos val="nextTo"/>
        <c:crossAx val="174798128"/>
        <c:crosses val="autoZero"/>
        <c:auto val="0"/>
        <c:lblAlgn val="ctr"/>
        <c:lblOffset val="100"/>
        <c:noMultiLvlLbl val="0"/>
      </c:catAx>
      <c:valAx>
        <c:axId val="174798128"/>
        <c:scaling>
          <c:orientation val="minMax"/>
        </c:scaling>
        <c:delete val="0"/>
        <c:axPos val="r"/>
        <c:title>
          <c:tx>
            <c:rich>
              <a:bodyPr/>
              <a:lstStyle/>
              <a:p>
                <a:pPr>
                  <a:defRPr sz="800" b="0" i="0" u="none" strike="noStrike" baseline="0">
                    <a:solidFill>
                      <a:srgbClr val="000000"/>
                    </a:solidFill>
                    <a:latin typeface="Arial CE"/>
                    <a:ea typeface="Arial CE"/>
                    <a:cs typeface="Arial CE"/>
                  </a:defRPr>
                </a:pPr>
                <a:r>
                  <a:rPr lang="en-GB"/>
                  <a:t>Disposition Time in days</a:t>
                </a:r>
              </a:p>
            </c:rich>
          </c:tx>
          <c:layout>
            <c:manualLayout>
              <c:xMode val="edge"/>
              <c:yMode val="edge"/>
              <c:x val="0.94462540716612375"/>
              <c:y val="0.3227521559805024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74797568"/>
        <c:crosses val="max"/>
        <c:crossBetween val="between"/>
      </c:valAx>
      <c:spPr>
        <a:solidFill>
          <a:srgbClr val="FFFFFF"/>
        </a:solidFill>
        <a:ln w="12700">
          <a:solidFill>
            <a:srgbClr val="808080"/>
          </a:solidFill>
          <a:prstDash val="solid"/>
        </a:ln>
      </c:spPr>
    </c:plotArea>
    <c:legend>
      <c:legendPos val="b"/>
      <c:layout>
        <c:manualLayout>
          <c:xMode val="edge"/>
          <c:yMode val="edge"/>
          <c:x val="2.4362861161833695E-2"/>
          <c:y val="0.90740990709494651"/>
          <c:w val="0.96662586083722402"/>
          <c:h val="5.2910052910052907E-2"/>
        </c:manualLayout>
      </c:layout>
      <c:overlay val="0"/>
      <c:spPr>
        <a:solidFill>
          <a:srgbClr val="FFFFFF"/>
        </a:solidFill>
        <a:ln w="25400">
          <a:noFill/>
        </a:ln>
      </c:spPr>
      <c:txPr>
        <a:bodyPr/>
        <a:lstStyle/>
        <a:p>
          <a:pPr>
            <a:defRPr sz="900" b="0" i="0" u="none" strike="noStrike" baseline="0">
              <a:solidFill>
                <a:srgbClr val="000000"/>
              </a:solidFill>
              <a:latin typeface="Arial CE"/>
              <a:ea typeface="Arial CE"/>
              <a:cs typeface="Arial CE"/>
            </a:defRPr>
          </a:pPr>
          <a:endParaRPr lang="ru-RU"/>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CE"/>
          <a:ea typeface="Arial CE"/>
          <a:cs typeface="Arial CE"/>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lvl="0" indent="0" algn="l" defTabSz="914400" rtl="0" eaLnBrk="1" fontAlgn="auto" latinLnBrk="0" hangingPunct="1">
              <a:lnSpc>
                <a:spcPct val="100000"/>
              </a:lnSpc>
              <a:spcBef>
                <a:spcPts val="0"/>
              </a:spcBef>
              <a:spcAft>
                <a:spcPts val="0"/>
              </a:spcAft>
              <a:buClrTx/>
              <a:buSzTx/>
              <a:buFontTx/>
              <a:buNone/>
              <a:tabLst/>
              <a:defRPr sz="1100" b="1" i="0" u="none" strike="noStrike" kern="1200" baseline="0">
                <a:solidFill>
                  <a:srgbClr val="000000"/>
                </a:solidFill>
                <a:latin typeface="Tahoma"/>
                <a:ea typeface="Tahoma"/>
                <a:cs typeface="Tahoma"/>
              </a:defRPr>
            </a:pPr>
            <a:r>
              <a:rPr lang="en-US" sz="1100" b="1" i="0" u="none" strike="noStrike" baseline="0">
                <a:solidFill>
                  <a:sysClr val="windowText" lastClr="000000"/>
                </a:solidFill>
                <a:effectLst/>
              </a:rPr>
              <a:t>Curtea de Apel Cahul</a:t>
            </a:r>
            <a:r>
              <a:rPr lang="en-GB" sz="1100" b="1" i="0" baseline="0">
                <a:solidFill>
                  <a:sysClr val="windowText" lastClr="000000"/>
                </a:solidFill>
                <a:effectLst/>
              </a:rPr>
              <a:t>: Rata </a:t>
            </a:r>
            <a:r>
              <a:rPr lang="en-GB" sz="1100" b="1" i="0" baseline="0">
                <a:effectLst/>
              </a:rPr>
              <a:t>de variaţie a stocului de cauze pendinte</a:t>
            </a:r>
            <a:r>
              <a:rPr lang="ro-RO" sz="1100" b="1" i="0" baseline="0">
                <a:effectLst/>
              </a:rPr>
              <a:t> pentru totalul calculat de cauze</a:t>
            </a:r>
            <a:endParaRPr lang="fr-FR" sz="1100">
              <a:effectLst/>
            </a:endParaRPr>
          </a:p>
          <a:p>
            <a:pPr marL="0" marR="0" lvl="0" indent="0" algn="l" defTabSz="914400" rtl="0" eaLnBrk="1" fontAlgn="auto" latinLnBrk="0" hangingPunct="1">
              <a:lnSpc>
                <a:spcPct val="100000"/>
              </a:lnSpc>
              <a:spcBef>
                <a:spcPts val="0"/>
              </a:spcBef>
              <a:spcAft>
                <a:spcPts val="0"/>
              </a:spcAft>
              <a:buClrTx/>
              <a:buSzTx/>
              <a:buFontTx/>
              <a:buNone/>
              <a:tabLst/>
              <a:defRPr sz="1100" b="1" i="0" u="none" strike="noStrike" kern="1200" baseline="0">
                <a:solidFill>
                  <a:srgbClr val="000000"/>
                </a:solidFill>
                <a:latin typeface="Tahoma"/>
                <a:ea typeface="Tahoma"/>
                <a:cs typeface="Tahoma"/>
              </a:defRPr>
            </a:pPr>
            <a:r>
              <a:rPr lang="en-GB" sz="1100" b="1" i="0" u="none" strike="noStrike" baseline="0">
                <a:effectLst/>
              </a:rPr>
              <a:t>  </a:t>
            </a:r>
            <a:endParaRPr lang="en-GB" sz="1100"/>
          </a:p>
        </c:rich>
      </c:tx>
      <c:layout>
        <c:manualLayout>
          <c:xMode val="edge"/>
          <c:yMode val="edge"/>
          <c:x val="4.8327887585480386E-2"/>
          <c:y val="1.5085139424574921E-2"/>
        </c:manualLayout>
      </c:layout>
      <c:overlay val="0"/>
      <c:spPr>
        <a:noFill/>
        <a:ln w="25400">
          <a:noFill/>
        </a:ln>
      </c:spPr>
    </c:title>
    <c:autoTitleDeleted val="0"/>
    <c:plotArea>
      <c:layout>
        <c:manualLayout>
          <c:layoutTarget val="inner"/>
          <c:xMode val="edge"/>
          <c:yMode val="edge"/>
          <c:x val="9.962415158760389E-2"/>
          <c:y val="0.15897475704816968"/>
          <c:w val="0.74624128642035359"/>
          <c:h val="0.66410422702380567"/>
        </c:manualLayout>
      </c:layout>
      <c:lineChart>
        <c:grouping val="standard"/>
        <c:varyColors val="0"/>
        <c:ser>
          <c:idx val="0"/>
          <c:order val="0"/>
          <c:tx>
            <c:strRef>
              <c:f>'[! Basic Model Tables for final 2020 (1).xlsx]Rezultat CR și DT'!$A$15</c:f>
              <c:strCache>
                <c:ptCount val="1"/>
                <c:pt idx="0">
                  <c:v>Rata de variaţie a stocului de cauze pendinte (CR)</c:v>
                </c:pt>
              </c:strCache>
            </c:strRef>
          </c:tx>
          <c:spPr>
            <a:ln w="38100">
              <a:solidFill>
                <a:srgbClr val="0000FF"/>
              </a:solidFill>
              <a:prstDash val="solid"/>
            </a:ln>
          </c:spPr>
          <c:marker>
            <c:symbol val="circle"/>
            <c:size val="3"/>
            <c:spPr>
              <a:noFill/>
              <a:ln>
                <a:solidFill>
                  <a:srgbClr val="0000FF"/>
                </a:solidFill>
                <a:prstDash val="solid"/>
              </a:ln>
            </c:spPr>
          </c:marker>
          <c:cat>
            <c:numRef>
              <c:f>'[! Basic Model Tables for final 2020 (1).xlsx]Rezultat CR și DT'!$B$11:$E$11</c:f>
              <c:numCache>
                <c:formatCode>General</c:formatCode>
                <c:ptCount val="3"/>
                <c:pt idx="0">
                  <c:v>2018</c:v>
                </c:pt>
                <c:pt idx="1">
                  <c:v>2019</c:v>
                </c:pt>
                <c:pt idx="2">
                  <c:v>2020</c:v>
                </c:pt>
              </c:numCache>
            </c:numRef>
          </c:cat>
          <c:val>
            <c:numRef>
              <c:f>'[! Basic Model Tables for final 2020 (1).xlsx]Rezultat CR și DT'!$B$15:$E$15</c:f>
              <c:numCache>
                <c:formatCode>0%</c:formatCode>
                <c:ptCount val="3"/>
                <c:pt idx="0">
                  <c:v>1.0863509749303621</c:v>
                </c:pt>
                <c:pt idx="1">
                  <c:v>1.0109044259140474</c:v>
                </c:pt>
                <c:pt idx="2">
                  <c:v>0.96960000000000002</c:v>
                </c:pt>
              </c:numCache>
            </c:numRef>
          </c:val>
          <c:smooth val="1"/>
          <c:extLst>
            <c:ext xmlns:c16="http://schemas.microsoft.com/office/drawing/2014/chart" uri="{C3380CC4-5D6E-409C-BE32-E72D297353CC}">
              <c16:uniqueId val="{00000000-632F-4795-9BAF-E5850A4299ED}"/>
            </c:ext>
          </c:extLst>
        </c:ser>
        <c:ser>
          <c:idx val="5"/>
          <c:order val="1"/>
          <c:tx>
            <c:strRef>
              <c:f>'[! Basic Model Tables for final 2020 (1).xlsx]Rezultat CR și DT'!$A$17</c:f>
              <c:strCache>
                <c:ptCount val="1"/>
                <c:pt idx="0">
                  <c:v>CR=100%</c:v>
                </c:pt>
              </c:strCache>
            </c:strRef>
          </c:tx>
          <c:spPr>
            <a:ln w="38100">
              <a:solidFill>
                <a:srgbClr val="FF0000"/>
              </a:solidFill>
              <a:prstDash val="solid"/>
            </a:ln>
          </c:spPr>
          <c:marker>
            <c:symbol val="none"/>
          </c:marker>
          <c:cat>
            <c:numRef>
              <c:f>'[! Basic Model Tables for final 2020 (1).xlsx]Rezultat CR și DT'!$B$11:$E$11</c:f>
              <c:numCache>
                <c:formatCode>General</c:formatCode>
                <c:ptCount val="3"/>
                <c:pt idx="0">
                  <c:v>2018</c:v>
                </c:pt>
                <c:pt idx="1">
                  <c:v>2019</c:v>
                </c:pt>
                <c:pt idx="2">
                  <c:v>2020</c:v>
                </c:pt>
              </c:numCache>
            </c:numRef>
          </c:cat>
          <c:val>
            <c:numRef>
              <c:f>'[! Basic Model Tables for final 2020 (1).xlsx]Rezultat CR și DT'!$B$17:$E$17</c:f>
              <c:numCache>
                <c:formatCode>0%</c:formatCode>
                <c:ptCount val="3"/>
                <c:pt idx="0">
                  <c:v>1</c:v>
                </c:pt>
                <c:pt idx="1">
                  <c:v>1</c:v>
                </c:pt>
                <c:pt idx="2">
                  <c:v>1</c:v>
                </c:pt>
              </c:numCache>
            </c:numRef>
          </c:val>
          <c:smooth val="0"/>
          <c:extLst>
            <c:ext xmlns:c16="http://schemas.microsoft.com/office/drawing/2014/chart" uri="{C3380CC4-5D6E-409C-BE32-E72D297353CC}">
              <c16:uniqueId val="{00000001-632F-4795-9BAF-E5850A4299ED}"/>
            </c:ext>
          </c:extLst>
        </c:ser>
        <c:dLbls>
          <c:showLegendKey val="0"/>
          <c:showVal val="0"/>
          <c:showCatName val="0"/>
          <c:showSerName val="0"/>
          <c:showPercent val="0"/>
          <c:showBubbleSize val="0"/>
        </c:dLbls>
        <c:marker val="1"/>
        <c:smooth val="0"/>
        <c:axId val="174800928"/>
        <c:axId val="174801488"/>
      </c:lineChart>
      <c:catAx>
        <c:axId val="17480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74801488"/>
        <c:crosses val="autoZero"/>
        <c:auto val="1"/>
        <c:lblAlgn val="ctr"/>
        <c:lblOffset val="100"/>
        <c:tickLblSkip val="1"/>
        <c:tickMarkSkip val="1"/>
        <c:noMultiLvlLbl val="0"/>
      </c:catAx>
      <c:valAx>
        <c:axId val="174801488"/>
        <c:scaling>
          <c:orientation val="minMax"/>
          <c:max val="1.5"/>
          <c:min val="0"/>
        </c:scaling>
        <c:delete val="0"/>
        <c:axPos val="l"/>
        <c:majorGridlines>
          <c:spPr>
            <a:ln w="3175">
              <a:solidFill>
                <a:srgbClr val="C0C0C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ru-RU"/>
          </a:p>
        </c:txPr>
        <c:crossAx val="174800928"/>
        <c:crosses val="autoZero"/>
        <c:crossBetween val="midCat"/>
        <c:majorUnit val="0.25"/>
      </c:valAx>
      <c:spPr>
        <a:solidFill>
          <a:srgbClr val="FFFFFF"/>
        </a:solidFill>
        <a:ln w="25400">
          <a:noFill/>
        </a:ln>
      </c:spPr>
    </c:plotArea>
    <c:legend>
      <c:legendPos val="b"/>
      <c:layout>
        <c:manualLayout>
          <c:xMode val="edge"/>
          <c:yMode val="edge"/>
          <c:x val="6.3910169123596386E-2"/>
          <c:y val="0.91196823473988831"/>
          <c:w val="0.87884765631140604"/>
          <c:h val="5.1282051282051322E-2"/>
        </c:manualLayout>
      </c:layout>
      <c:overlay val="0"/>
      <c:spPr>
        <a:solidFill>
          <a:srgbClr val="FFFFFF"/>
        </a:solidFill>
        <a:ln w="25400">
          <a:noFill/>
        </a:ln>
      </c:spPr>
      <c:txPr>
        <a:bodyPr/>
        <a:lstStyle/>
        <a:p>
          <a:pPr>
            <a:defRPr sz="900" b="0" i="0" u="none" strike="noStrike" baseline="0">
              <a:solidFill>
                <a:srgbClr val="000000"/>
              </a:solidFill>
              <a:latin typeface="Arial"/>
              <a:ea typeface="Arial"/>
              <a:cs typeface="Arial"/>
            </a:defRPr>
          </a:pPr>
          <a:endParaRPr lang="ru-RU"/>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b="1" i="0" u="none" strike="noStrike" baseline="0">
                <a:solidFill>
                  <a:srgbClr val="000000"/>
                </a:solidFill>
                <a:latin typeface="Tahoma"/>
                <a:ea typeface="Tahoma"/>
                <a:cs typeface="Tahoma"/>
              </a:defRPr>
            </a:pPr>
            <a:r>
              <a:rPr lang="en-US" sz="1000" b="1" i="0" u="none" strike="noStrike" baseline="0">
                <a:effectLst/>
              </a:rPr>
              <a:t>Curtea de Apel Cahul</a:t>
            </a:r>
            <a:r>
              <a:rPr lang="x-none" sz="1000" b="1" i="0" u="none" strike="noStrike" baseline="0">
                <a:effectLst/>
              </a:rPr>
              <a:t>: Rata deciziilor atacate cu apel/recurs și </a:t>
            </a:r>
            <a:r>
              <a:rPr lang="en-GB" sz="1000" b="1" i="0" u="none" strike="noStrike" baseline="0">
                <a:effectLst/>
              </a:rPr>
              <a:t>ce</a:t>
            </a:r>
            <a:r>
              <a:rPr lang="x-none" sz="1000" b="1" i="0" u="none" strike="noStrike" baseline="0">
                <a:effectLst/>
              </a:rPr>
              <a:t>lor</a:t>
            </a:r>
            <a:r>
              <a:rPr lang="en-GB" sz="1000" b="1" i="0" u="none" strike="noStrike" baseline="0">
                <a:effectLst/>
              </a:rPr>
              <a:t> </a:t>
            </a:r>
            <a:r>
              <a:rPr lang="ro-RO" sz="1000" b="1" i="0" u="none" strike="noStrike" baseline="0">
                <a:effectLst/>
              </a:rPr>
              <a:t>modificate sau anulate</a:t>
            </a:r>
            <a:r>
              <a:rPr lang="en-GB" sz="1000" b="1" i="0" u="none" strike="noStrike" baseline="0">
                <a:effectLst/>
              </a:rPr>
              <a:t>. </a:t>
            </a:r>
            <a:r>
              <a:rPr lang="ro-RO" sz="1000" b="1" i="0" u="none" strike="noStrike" baseline="0">
                <a:effectLst/>
              </a:rPr>
              <a:t>C</a:t>
            </a:r>
            <a:r>
              <a:rPr lang="en-GB" sz="1000" b="1" i="0" u="none" strike="noStrike" baseline="0">
                <a:effectLst/>
              </a:rPr>
              <a:t>auze </a:t>
            </a:r>
            <a:r>
              <a:rPr lang="ro-RO" sz="1000" b="1" i="0" u="none" strike="noStrike" baseline="0">
                <a:effectLst/>
              </a:rPr>
              <a:t>civile</a:t>
            </a:r>
            <a:r>
              <a:rPr lang="en-GB" sz="1000" b="1" i="0" u="none" strike="noStrike" baseline="0">
                <a:effectLst/>
              </a:rPr>
              <a:t> </a:t>
            </a:r>
            <a:r>
              <a:rPr lang="ro-RO" sz="1000" b="1" i="0" u="none" strike="noStrike" baseline="0">
                <a:effectLst/>
              </a:rPr>
              <a:t>.</a:t>
            </a:r>
            <a:endParaRPr lang="en-GB" sz="1000"/>
          </a:p>
        </c:rich>
      </c:tx>
      <c:layout>
        <c:manualLayout>
          <c:xMode val="edge"/>
          <c:yMode val="edge"/>
          <c:x val="0.10903492148227233"/>
          <c:y val="2.0229457133461155E-2"/>
        </c:manualLayout>
      </c:layout>
      <c:overlay val="0"/>
      <c:spPr>
        <a:noFill/>
        <a:ln w="25400">
          <a:noFill/>
        </a:ln>
      </c:spPr>
    </c:title>
    <c:autoTitleDeleted val="0"/>
    <c:plotArea>
      <c:layout>
        <c:manualLayout>
          <c:layoutTarget val="inner"/>
          <c:xMode val="edge"/>
          <c:yMode val="edge"/>
          <c:x val="0.11260483117576404"/>
          <c:y val="0.17368328958880139"/>
          <c:w val="0.70862128621808174"/>
          <c:h val="0.61627906976744184"/>
        </c:manualLayout>
      </c:layout>
      <c:barChart>
        <c:barDir val="col"/>
        <c:grouping val="clustered"/>
        <c:varyColors val="0"/>
        <c:ser>
          <c:idx val="1"/>
          <c:order val="0"/>
          <c:tx>
            <c:strRef>
              <c:f>'[! Basic Model Tables for final 2020       (1).xlsx]Rezultat RA'!$A$90</c:f>
              <c:strCache>
                <c:ptCount val="1"/>
                <c:pt idx="0">
                  <c:v>Cauze soluționate</c:v>
                </c:pt>
              </c:strCache>
            </c:strRef>
          </c:tx>
          <c:spPr>
            <a:solidFill>
              <a:srgbClr val="92D050"/>
            </a:solidFill>
            <a:ln w="25400">
              <a:noFill/>
            </a:ln>
          </c:spPr>
          <c:invertIfNegative val="0"/>
          <c:cat>
            <c:numRef>
              <c:f>'[! Basic Model Tables for final 2020       (1).xlsx]Rezultat RA'!$B$35:$E$35</c:f>
              <c:numCache>
                <c:formatCode>General</c:formatCode>
                <c:ptCount val="3"/>
                <c:pt idx="0">
                  <c:v>2018</c:v>
                </c:pt>
                <c:pt idx="1">
                  <c:v>2019</c:v>
                </c:pt>
                <c:pt idx="2">
                  <c:v>2020</c:v>
                </c:pt>
              </c:numCache>
            </c:numRef>
          </c:cat>
          <c:val>
            <c:numRef>
              <c:f>'[! Basic Model Tables for final 2020       (1).xlsx]Rezultat RA'!$B$90:$E$90</c:f>
              <c:numCache>
                <c:formatCode>#,##0</c:formatCode>
                <c:ptCount val="3"/>
                <c:pt idx="0">
                  <c:v>651</c:v>
                </c:pt>
                <c:pt idx="1">
                  <c:v>564</c:v>
                </c:pt>
                <c:pt idx="2">
                  <c:v>533</c:v>
                </c:pt>
              </c:numCache>
            </c:numRef>
          </c:val>
          <c:extLst>
            <c:ext xmlns:c16="http://schemas.microsoft.com/office/drawing/2014/chart" uri="{C3380CC4-5D6E-409C-BE32-E72D297353CC}">
              <c16:uniqueId val="{00000000-E0C3-48ED-9D7F-8D2635FE38ED}"/>
            </c:ext>
          </c:extLst>
        </c:ser>
        <c:ser>
          <c:idx val="0"/>
          <c:order val="1"/>
          <c:tx>
            <c:strRef>
              <c:f>'[! Basic Model Tables for final 2020       (1).xlsx]Rezultat RA'!$A$92</c:f>
              <c:strCache>
                <c:ptCount val="1"/>
                <c:pt idx="0">
                  <c:v>Deciziile modificate sau anulate de instanța de apel/recurs</c:v>
                </c:pt>
              </c:strCache>
            </c:strRef>
          </c:tx>
          <c:spPr>
            <a:solidFill>
              <a:srgbClr val="FF0000"/>
            </a:solidFill>
            <a:ln w="25400">
              <a:noFill/>
            </a:ln>
          </c:spPr>
          <c:invertIfNegative val="0"/>
          <c:cat>
            <c:numRef>
              <c:f>'[! Basic Model Tables for final 2020       (1).xlsx]Rezultat RA'!$B$35:$E$35</c:f>
              <c:numCache>
                <c:formatCode>General</c:formatCode>
                <c:ptCount val="3"/>
                <c:pt idx="0">
                  <c:v>2018</c:v>
                </c:pt>
                <c:pt idx="1">
                  <c:v>2019</c:v>
                </c:pt>
                <c:pt idx="2">
                  <c:v>2020</c:v>
                </c:pt>
              </c:numCache>
            </c:numRef>
          </c:cat>
          <c:val>
            <c:numRef>
              <c:f>'[! Basic Model Tables for final 2020       (1).xlsx]Rezultat RA'!$B$92:$E$92</c:f>
              <c:numCache>
                <c:formatCode>#,##0</c:formatCode>
                <c:ptCount val="3"/>
                <c:pt idx="0">
                  <c:v>44</c:v>
                </c:pt>
                <c:pt idx="1">
                  <c:v>26</c:v>
                </c:pt>
                <c:pt idx="2">
                  <c:v>26</c:v>
                </c:pt>
              </c:numCache>
            </c:numRef>
          </c:val>
          <c:extLst>
            <c:ext xmlns:c16="http://schemas.microsoft.com/office/drawing/2014/chart" uri="{C3380CC4-5D6E-409C-BE32-E72D297353CC}">
              <c16:uniqueId val="{00000001-E0C3-48ED-9D7F-8D2635FE38ED}"/>
            </c:ext>
          </c:extLst>
        </c:ser>
        <c:ser>
          <c:idx val="3"/>
          <c:order val="3"/>
          <c:tx>
            <c:strRef>
              <c:f>'[! Basic Model Tables for final 2020       (1).xlsx]Rezultat RA'!$A$91</c:f>
              <c:strCache>
                <c:ptCount val="1"/>
                <c:pt idx="0">
                  <c:v>Deciziile atacate cu apel/recurs</c:v>
                </c:pt>
              </c:strCache>
            </c:strRef>
          </c:tx>
          <c:spPr>
            <a:solidFill>
              <a:srgbClr val="FFC000"/>
            </a:solidFill>
          </c:spPr>
          <c:invertIfNegative val="0"/>
          <c:val>
            <c:numRef>
              <c:f>'[! Basic Model Tables for final 2020       (1).xlsx]Rezultat RA'!$B$91:$E$91</c:f>
              <c:numCache>
                <c:formatCode>#,##0</c:formatCode>
                <c:ptCount val="3"/>
                <c:pt idx="0">
                  <c:v>210</c:v>
                </c:pt>
                <c:pt idx="1">
                  <c:v>149</c:v>
                </c:pt>
                <c:pt idx="2">
                  <c:v>118</c:v>
                </c:pt>
              </c:numCache>
            </c:numRef>
          </c:val>
          <c:extLst>
            <c:ext xmlns:c16="http://schemas.microsoft.com/office/drawing/2014/chart" uri="{C3380CC4-5D6E-409C-BE32-E72D297353CC}">
              <c16:uniqueId val="{00000002-E0C3-48ED-9D7F-8D2635FE38ED}"/>
            </c:ext>
          </c:extLst>
        </c:ser>
        <c:dLbls>
          <c:showLegendKey val="0"/>
          <c:showVal val="0"/>
          <c:showCatName val="0"/>
          <c:showSerName val="0"/>
          <c:showPercent val="0"/>
          <c:showBubbleSize val="0"/>
        </c:dLbls>
        <c:gapWidth val="150"/>
        <c:axId val="175132496"/>
        <c:axId val="175133056"/>
      </c:barChart>
      <c:lineChart>
        <c:grouping val="standard"/>
        <c:varyColors val="0"/>
        <c:ser>
          <c:idx val="2"/>
          <c:order val="2"/>
          <c:tx>
            <c:strRef>
              <c:f>'[! Basic Model Tables for final 2020       (1).xlsx]Rezultat RA'!$A$94</c:f>
              <c:strCache>
                <c:ptCount val="1"/>
                <c:pt idx="0">
                  <c:v>Rata deciziilor modificate sau anulate de instanța de apel/recurs</c:v>
                </c:pt>
              </c:strCache>
            </c:strRef>
          </c:tx>
          <c:spPr>
            <a:ln w="38100">
              <a:solidFill>
                <a:srgbClr val="FF0000"/>
              </a:solidFill>
              <a:prstDash val="solid"/>
            </a:ln>
          </c:spPr>
          <c:marker>
            <c:symbol val="triangle"/>
            <c:size val="3"/>
            <c:spPr>
              <a:noFill/>
              <a:ln>
                <a:solidFill>
                  <a:srgbClr val="FF0000"/>
                </a:solidFill>
                <a:prstDash val="solid"/>
              </a:ln>
            </c:spPr>
          </c:marker>
          <c:dLbls>
            <c:dLbl>
              <c:idx val="0"/>
              <c:layout>
                <c:manualLayout>
                  <c:x val="-8.8103538781790211E-2"/>
                  <c:y val="-2.73896955541107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C3-48ED-9D7F-8D2635FE38ED}"/>
                </c:ext>
              </c:extLst>
            </c:dLbl>
            <c:dLbl>
              <c:idx val="1"/>
              <c:layout>
                <c:manualLayout>
                  <c:x val="-4.0747035930853472E-2"/>
                  <c:y val="-6.06907622785683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C3-48ED-9D7F-8D2635FE38ED}"/>
                </c:ext>
              </c:extLst>
            </c:dLbl>
            <c:dLbl>
              <c:idx val="2"/>
              <c:layout>
                <c:manualLayout>
                  <c:x val="-9.4827744434043647E-3"/>
                  <c:y val="3.163134020012204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C3-48ED-9D7F-8D2635FE38ED}"/>
                </c:ext>
              </c:extLst>
            </c:dLbl>
            <c:dLbl>
              <c:idx val="3"/>
              <c:layout>
                <c:manualLayout>
                  <c:x val="-1.2069870576522763E-3"/>
                  <c:y val="2.0858677069036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C3-48ED-9D7F-8D2635FE38ED}"/>
                </c:ext>
              </c:extLst>
            </c:dLbl>
            <c:dLbl>
              <c:idx val="4"/>
              <c:layout>
                <c:manualLayout>
                  <c:x val="-3.9354293999963208E-2"/>
                  <c:y val="-3.6111662512774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C3-48ED-9D7F-8D2635FE38ED}"/>
                </c:ext>
              </c:extLst>
            </c:dLbl>
            <c:dLbl>
              <c:idx val="5"/>
              <c:layout>
                <c:manualLayout>
                  <c:x val="-1.3551814643859173E-2"/>
                  <c:y val="-4.79102956167176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C3-48ED-9D7F-8D2635FE38ED}"/>
                </c:ext>
              </c:extLst>
            </c:dLbl>
            <c:spPr>
              <a:solidFill>
                <a:sysClr val="window" lastClr="FFFFFF"/>
              </a:solidFill>
              <a:ln w="25400">
                <a:noFill/>
              </a:ln>
            </c:spPr>
            <c:txPr>
              <a:bodyPr/>
              <a:lstStyle/>
              <a:p>
                <a:pPr>
                  <a:defRPr sz="1000" b="1" i="0" u="none" strike="noStrike" baseline="0">
                    <a:solidFill>
                      <a:srgbClr val="000000"/>
                    </a:solidFill>
                    <a:latin typeface="Arial CE"/>
                    <a:ea typeface="Arial CE"/>
                    <a:cs typeface="Arial CE"/>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Basic Model Tables for final 2020       (1).xlsx]Rezultat RA'!$B$35:$D$35</c:f>
              <c:numCache>
                <c:formatCode>General</c:formatCode>
                <c:ptCount val="3"/>
                <c:pt idx="0">
                  <c:v>2018</c:v>
                </c:pt>
                <c:pt idx="1">
                  <c:v>2019</c:v>
                </c:pt>
                <c:pt idx="2">
                  <c:v>2020</c:v>
                </c:pt>
              </c:numCache>
            </c:numRef>
          </c:cat>
          <c:val>
            <c:numRef>
              <c:f>'[! Basic Model Tables for final 2020       (1).xlsx]Rezultat RA'!$B$94:$E$94</c:f>
              <c:numCache>
                <c:formatCode>0.0%</c:formatCode>
                <c:ptCount val="3"/>
                <c:pt idx="0">
                  <c:v>6.7588325652841785E-2</c:v>
                </c:pt>
                <c:pt idx="1">
                  <c:v>4.6099290780141841E-2</c:v>
                </c:pt>
                <c:pt idx="2">
                  <c:v>4.878048780487805E-2</c:v>
                </c:pt>
              </c:numCache>
            </c:numRef>
          </c:val>
          <c:smooth val="1"/>
          <c:extLst>
            <c:ext xmlns:c16="http://schemas.microsoft.com/office/drawing/2014/chart" uri="{C3380CC4-5D6E-409C-BE32-E72D297353CC}">
              <c16:uniqueId val="{00000009-E0C3-48ED-9D7F-8D2635FE38ED}"/>
            </c:ext>
          </c:extLst>
        </c:ser>
        <c:ser>
          <c:idx val="4"/>
          <c:order val="4"/>
          <c:tx>
            <c:strRef>
              <c:f>'[! Basic Model Tables for final 2020       (1).xlsx]Rezultat RA'!$A$93</c:f>
              <c:strCache>
                <c:ptCount val="1"/>
                <c:pt idx="0">
                  <c:v>Rata deciziilor atacate cu apel/recurs</c:v>
                </c:pt>
              </c:strCache>
            </c:strRef>
          </c:tx>
          <c:spPr>
            <a:ln w="38100">
              <a:solidFill>
                <a:srgbClr val="FFC000"/>
              </a:solidFill>
            </a:ln>
          </c:spPr>
          <c:marker>
            <c:symbol val="diamond"/>
            <c:size val="2"/>
            <c:spPr>
              <a:solidFill>
                <a:srgbClr val="FFC000"/>
              </a:solidFill>
            </c:spPr>
          </c:marker>
          <c:dLbls>
            <c:dLbl>
              <c:idx val="0"/>
              <c:layout>
                <c:manualLayout>
                  <c:x val="-7.459207459207462E-2"/>
                  <c:y val="-2.2408963585434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C3-48ED-9D7F-8D2635FE38ED}"/>
                </c:ext>
              </c:extLst>
            </c:dLbl>
            <c:dLbl>
              <c:idx val="1"/>
              <c:layout>
                <c:manualLayout>
                  <c:x val="-6.2068965517241378E-2"/>
                  <c:y val="-5.30071355759429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0C3-48ED-9D7F-8D2635FE38ED}"/>
                </c:ext>
              </c:extLst>
            </c:dLbl>
            <c:dLbl>
              <c:idx val="2"/>
              <c:layout>
                <c:manualLayout>
                  <c:x val="-1.1655011655011656E-2"/>
                  <c:y val="-5.2287581699346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0C3-48ED-9D7F-8D2635FE38ED}"/>
                </c:ext>
              </c:extLst>
            </c:dLbl>
            <c:dLbl>
              <c:idx val="3"/>
              <c:layout>
                <c:manualLayout>
                  <c:x val="-2.528735632183908E-2"/>
                  <c:y val="-8.56269113149846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0C3-48ED-9D7F-8D2635FE38ED}"/>
                </c:ext>
              </c:extLst>
            </c:dLbl>
            <c:dLbl>
              <c:idx val="4"/>
              <c:layout>
                <c:manualLayout>
                  <c:x val="-5.2873563218390887E-2"/>
                  <c:y val="-6.1162079510703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0C3-48ED-9D7F-8D2635FE38ED}"/>
                </c:ext>
              </c:extLst>
            </c:dLbl>
            <c:spPr>
              <a:solidFill>
                <a:srgbClr val="FFFFFF"/>
              </a:solidFill>
            </c:spPr>
            <c:txPr>
              <a:bodyPr/>
              <a:lstStyle/>
              <a:p>
                <a:pPr>
                  <a:defRPr sz="10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 Basic Model Tables for final 2020       (1).xlsx]Rezultat RA'!$B$93:$E$93</c:f>
              <c:numCache>
                <c:formatCode>0.0%</c:formatCode>
                <c:ptCount val="3"/>
                <c:pt idx="0">
                  <c:v>0.32258064516129031</c:v>
                </c:pt>
                <c:pt idx="1">
                  <c:v>0.26418439716312059</c:v>
                </c:pt>
                <c:pt idx="2">
                  <c:v>0.22138836772983114</c:v>
                </c:pt>
              </c:numCache>
            </c:numRef>
          </c:val>
          <c:smooth val="1"/>
          <c:extLst>
            <c:ext xmlns:c16="http://schemas.microsoft.com/office/drawing/2014/chart" uri="{C3380CC4-5D6E-409C-BE32-E72D297353CC}">
              <c16:uniqueId val="{0000000F-E0C3-48ED-9D7F-8D2635FE38ED}"/>
            </c:ext>
          </c:extLst>
        </c:ser>
        <c:dLbls>
          <c:showLegendKey val="0"/>
          <c:showVal val="0"/>
          <c:showCatName val="0"/>
          <c:showSerName val="0"/>
          <c:showPercent val="0"/>
          <c:showBubbleSize val="0"/>
        </c:dLbls>
        <c:marker val="1"/>
        <c:smooth val="0"/>
        <c:axId val="175133616"/>
        <c:axId val="175134176"/>
      </c:lineChart>
      <c:catAx>
        <c:axId val="17513249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E"/>
                <a:ea typeface="Arial CE"/>
                <a:cs typeface="Arial CE"/>
              </a:defRPr>
            </a:pPr>
            <a:endParaRPr lang="ru-RU"/>
          </a:p>
        </c:txPr>
        <c:crossAx val="175133056"/>
        <c:crosses val="autoZero"/>
        <c:auto val="0"/>
        <c:lblAlgn val="ctr"/>
        <c:lblOffset val="100"/>
        <c:tickLblSkip val="1"/>
        <c:tickMarkSkip val="1"/>
        <c:noMultiLvlLbl val="0"/>
      </c:catAx>
      <c:valAx>
        <c:axId val="175133056"/>
        <c:scaling>
          <c:orientation val="minMax"/>
        </c:scaling>
        <c:delete val="0"/>
        <c:axPos val="l"/>
        <c:majorGridlines>
          <c:spPr>
            <a:ln w="3175">
              <a:solidFill>
                <a:srgbClr val="C0C0C0"/>
              </a:solidFill>
              <a:prstDash val="solid"/>
            </a:ln>
          </c:spPr>
        </c:majorGridlines>
        <c:title>
          <c:tx>
            <c:rich>
              <a:bodyPr/>
              <a:lstStyle/>
              <a:p>
                <a:pPr>
                  <a:defRPr sz="800" b="0" i="0" u="none" strike="noStrike" baseline="0">
                    <a:solidFill>
                      <a:srgbClr val="000000"/>
                    </a:solidFill>
                    <a:latin typeface="Arial CE"/>
                    <a:ea typeface="Arial CE"/>
                    <a:cs typeface="Arial CE"/>
                  </a:defRPr>
                </a:pPr>
                <a:r>
                  <a:rPr lang="en-GB" sz="800" b="0" i="0" baseline="0">
                    <a:effectLst/>
                  </a:rPr>
                  <a:t>Num</a:t>
                </a:r>
                <a:r>
                  <a:rPr lang="ro-RO" sz="800" b="0" i="0" baseline="0">
                    <a:effectLst/>
                  </a:rPr>
                  <a:t>ă</a:t>
                </a:r>
                <a:r>
                  <a:rPr lang="en-GB" sz="800" b="0" i="0" baseline="0">
                    <a:effectLst/>
                  </a:rPr>
                  <a:t>rul de cauze</a:t>
                </a:r>
                <a:endParaRPr lang="en-GB" sz="800">
                  <a:effectLst/>
                </a:endParaRPr>
              </a:p>
            </c:rich>
          </c:tx>
          <c:layout>
            <c:manualLayout>
              <c:xMode val="edge"/>
              <c:yMode val="edge"/>
              <c:x val="2.3596818085097084E-2"/>
              <c:y val="0.35044656158425952"/>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75132496"/>
        <c:crosses val="autoZero"/>
        <c:crossBetween val="between"/>
      </c:valAx>
      <c:catAx>
        <c:axId val="175133616"/>
        <c:scaling>
          <c:orientation val="minMax"/>
        </c:scaling>
        <c:delete val="1"/>
        <c:axPos val="b"/>
        <c:numFmt formatCode="General" sourceLinked="1"/>
        <c:majorTickMark val="out"/>
        <c:minorTickMark val="none"/>
        <c:tickLblPos val="nextTo"/>
        <c:crossAx val="175134176"/>
        <c:crosses val="autoZero"/>
        <c:auto val="0"/>
        <c:lblAlgn val="ctr"/>
        <c:lblOffset val="100"/>
        <c:noMultiLvlLbl val="0"/>
      </c:catAx>
      <c:valAx>
        <c:axId val="175134176"/>
        <c:scaling>
          <c:orientation val="minMax"/>
        </c:scaling>
        <c:delete val="0"/>
        <c:axPos val="r"/>
        <c:title>
          <c:tx>
            <c:rich>
              <a:bodyPr/>
              <a:lstStyle/>
              <a:p>
                <a:pPr>
                  <a:defRPr sz="800" b="0" i="0" u="none" strike="noStrike" baseline="0">
                    <a:solidFill>
                      <a:srgbClr val="000000"/>
                    </a:solidFill>
                    <a:latin typeface="Arial CE"/>
                    <a:ea typeface="Arial CE"/>
                    <a:cs typeface="Arial CE"/>
                  </a:defRPr>
                </a:pPr>
                <a:r>
                  <a:rPr lang="ro-RO" sz="800" b="0" i="0" baseline="0">
                    <a:effectLst/>
                  </a:rPr>
                  <a:t>Rata apelurilor</a:t>
                </a:r>
                <a:endParaRPr lang="en-GB" sz="800">
                  <a:effectLst/>
                </a:endParaRPr>
              </a:p>
            </c:rich>
          </c:tx>
          <c:layout>
            <c:manualLayout>
              <c:xMode val="edge"/>
              <c:yMode val="edge"/>
              <c:x val="0.91004271602502851"/>
              <c:y val="0.37292386449740039"/>
            </c:manualLayout>
          </c:layout>
          <c:overlay val="0"/>
          <c:spPr>
            <a:noFill/>
            <a:ln w="25400">
              <a:noFill/>
            </a:ln>
          </c:spPr>
        </c:title>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75133616"/>
        <c:crosses val="max"/>
        <c:crossBetween val="between"/>
      </c:valAx>
      <c:spPr>
        <a:solidFill>
          <a:srgbClr val="FFFFFF"/>
        </a:solidFill>
        <a:ln w="12700">
          <a:solidFill>
            <a:srgbClr val="808080"/>
          </a:solidFill>
          <a:prstDash val="solid"/>
        </a:ln>
      </c:spPr>
    </c:plotArea>
    <c:legend>
      <c:legendPos val="b"/>
      <c:layout>
        <c:manualLayout>
          <c:xMode val="edge"/>
          <c:yMode val="edge"/>
          <c:x val="2.2988505747126436E-3"/>
          <c:y val="0.86676812187467389"/>
          <c:w val="0.99450527158681434"/>
          <c:h val="0.13323187542733628"/>
        </c:manualLayout>
      </c:layout>
      <c:overlay val="0"/>
      <c:spPr>
        <a:solidFill>
          <a:srgbClr val="FFFFFF"/>
        </a:solidFill>
        <a:ln w="25400">
          <a:noFill/>
        </a:ln>
      </c:spPr>
      <c:txPr>
        <a:bodyPr/>
        <a:lstStyle/>
        <a:p>
          <a:pPr>
            <a:defRPr sz="735" b="0" i="0" u="none" strike="noStrike" baseline="0">
              <a:solidFill>
                <a:srgbClr val="000000"/>
              </a:solidFill>
              <a:latin typeface="Arial CE"/>
              <a:ea typeface="Arial CE"/>
              <a:cs typeface="Arial CE"/>
            </a:defRPr>
          </a:pPr>
          <a:endParaRPr lang="ru-RU"/>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b="1" i="0" u="none" strike="noStrike" baseline="0">
                <a:solidFill>
                  <a:srgbClr val="000000"/>
                </a:solidFill>
                <a:latin typeface="Tahoma"/>
                <a:ea typeface="Tahoma"/>
                <a:cs typeface="Tahoma"/>
              </a:defRPr>
            </a:pPr>
            <a:r>
              <a:rPr lang="en-US" sz="1000" b="1" i="0" u="none" strike="noStrike" baseline="0">
                <a:effectLst/>
              </a:rPr>
              <a:t>Curtea de Apel Cahul</a:t>
            </a:r>
            <a:r>
              <a:rPr lang="x-none" sz="1000" b="1" i="0" u="none" strike="noStrike" baseline="0">
                <a:effectLst/>
              </a:rPr>
              <a:t>: Rata deciziilor atacate cu apel/recurs și </a:t>
            </a:r>
            <a:r>
              <a:rPr lang="en-GB" sz="1000" b="1" i="0" u="none" strike="noStrike" baseline="0">
                <a:effectLst/>
              </a:rPr>
              <a:t>ce</a:t>
            </a:r>
            <a:r>
              <a:rPr lang="x-none" sz="1000" b="1" i="0" u="none" strike="noStrike" baseline="0">
                <a:effectLst/>
              </a:rPr>
              <a:t>lor</a:t>
            </a:r>
            <a:r>
              <a:rPr lang="en-GB" sz="1000" b="1" i="0" u="none" strike="noStrike" baseline="0">
                <a:effectLst/>
              </a:rPr>
              <a:t> </a:t>
            </a:r>
            <a:r>
              <a:rPr lang="ro-RO" sz="1000" b="1" i="0" u="none" strike="noStrike" baseline="0">
                <a:effectLst/>
              </a:rPr>
              <a:t>modificate sau anulate</a:t>
            </a:r>
            <a:r>
              <a:rPr lang="en-GB" sz="1000" b="1" i="0" u="none" strike="noStrike" baseline="0">
                <a:effectLst/>
              </a:rPr>
              <a:t>. </a:t>
            </a:r>
            <a:r>
              <a:rPr lang="ro-RO" sz="1000"/>
              <a:t>Cauze penale.</a:t>
            </a:r>
            <a:endParaRPr lang="en-GB" sz="1000"/>
          </a:p>
        </c:rich>
      </c:tx>
      <c:layout>
        <c:manualLayout>
          <c:xMode val="edge"/>
          <c:yMode val="edge"/>
          <c:x val="0.10536882041549471"/>
          <c:y val="3.8556180366447451E-2"/>
        </c:manualLayout>
      </c:layout>
      <c:overlay val="0"/>
      <c:spPr>
        <a:noFill/>
        <a:ln w="25400">
          <a:noFill/>
        </a:ln>
      </c:spPr>
    </c:title>
    <c:autoTitleDeleted val="0"/>
    <c:plotArea>
      <c:layout>
        <c:manualLayout>
          <c:layoutTarget val="inner"/>
          <c:xMode val="edge"/>
          <c:yMode val="edge"/>
          <c:x val="0.11034492048164776"/>
          <c:y val="0.18925565526363378"/>
          <c:w val="0.70638798429804595"/>
          <c:h val="0.61016287168897121"/>
        </c:manualLayout>
      </c:layout>
      <c:barChart>
        <c:barDir val="col"/>
        <c:grouping val="clustered"/>
        <c:varyColors val="0"/>
        <c:ser>
          <c:idx val="1"/>
          <c:order val="0"/>
          <c:tx>
            <c:strRef>
              <c:f>'Rezultat RA'!$A$81</c:f>
              <c:strCache>
                <c:ptCount val="1"/>
                <c:pt idx="0">
                  <c:v>Cauze soluționate</c:v>
                </c:pt>
              </c:strCache>
            </c:strRef>
          </c:tx>
          <c:spPr>
            <a:solidFill>
              <a:srgbClr val="92D050"/>
            </a:solidFill>
            <a:ln w="25400">
              <a:noFill/>
            </a:ln>
          </c:spPr>
          <c:invertIfNegative val="0"/>
          <c:cat>
            <c:numRef>
              <c:f>'Rezultat RA'!$B$35:$E$35</c:f>
              <c:numCache>
                <c:formatCode>General</c:formatCode>
                <c:ptCount val="3"/>
                <c:pt idx="0">
                  <c:v>2018</c:v>
                </c:pt>
                <c:pt idx="1">
                  <c:v>2019</c:v>
                </c:pt>
                <c:pt idx="2">
                  <c:v>2020</c:v>
                </c:pt>
              </c:numCache>
            </c:numRef>
          </c:cat>
          <c:val>
            <c:numRef>
              <c:f>'Rezultat RA'!$B$81:$E$81</c:f>
              <c:numCache>
                <c:formatCode>#,##0</c:formatCode>
                <c:ptCount val="3"/>
                <c:pt idx="0">
                  <c:v>762</c:v>
                </c:pt>
                <c:pt idx="1">
                  <c:v>875</c:v>
                </c:pt>
                <c:pt idx="2">
                  <c:v>1090</c:v>
                </c:pt>
              </c:numCache>
            </c:numRef>
          </c:val>
          <c:extLst>
            <c:ext xmlns:c16="http://schemas.microsoft.com/office/drawing/2014/chart" uri="{C3380CC4-5D6E-409C-BE32-E72D297353CC}">
              <c16:uniqueId val="{00000000-DCF2-4CB7-B6A5-07B87FA2EABD}"/>
            </c:ext>
          </c:extLst>
        </c:ser>
        <c:ser>
          <c:idx val="0"/>
          <c:order val="1"/>
          <c:tx>
            <c:strRef>
              <c:f>'Rezultat RA'!$A$83</c:f>
              <c:strCache>
                <c:ptCount val="1"/>
                <c:pt idx="0">
                  <c:v>Deciziile modificate sau anulate de instanța de apel/recurs</c:v>
                </c:pt>
              </c:strCache>
            </c:strRef>
          </c:tx>
          <c:spPr>
            <a:solidFill>
              <a:srgbClr val="FF0000"/>
            </a:solidFill>
            <a:ln w="25400">
              <a:noFill/>
            </a:ln>
          </c:spPr>
          <c:invertIfNegative val="0"/>
          <c:cat>
            <c:numRef>
              <c:f>'Rezultat RA'!$B$35:$E$35</c:f>
              <c:numCache>
                <c:formatCode>General</c:formatCode>
                <c:ptCount val="3"/>
                <c:pt idx="0">
                  <c:v>2018</c:v>
                </c:pt>
                <c:pt idx="1">
                  <c:v>2019</c:v>
                </c:pt>
                <c:pt idx="2">
                  <c:v>2020</c:v>
                </c:pt>
              </c:numCache>
            </c:numRef>
          </c:cat>
          <c:val>
            <c:numRef>
              <c:f>'Rezultat RA'!$B$83:$E$83</c:f>
              <c:numCache>
                <c:formatCode>#,##0</c:formatCode>
                <c:ptCount val="3"/>
                <c:pt idx="0">
                  <c:v>24</c:v>
                </c:pt>
                <c:pt idx="1">
                  <c:v>49</c:v>
                </c:pt>
                <c:pt idx="2">
                  <c:v>57</c:v>
                </c:pt>
              </c:numCache>
            </c:numRef>
          </c:val>
          <c:extLst>
            <c:ext xmlns:c16="http://schemas.microsoft.com/office/drawing/2014/chart" uri="{C3380CC4-5D6E-409C-BE32-E72D297353CC}">
              <c16:uniqueId val="{00000001-DCF2-4CB7-B6A5-07B87FA2EABD}"/>
            </c:ext>
          </c:extLst>
        </c:ser>
        <c:ser>
          <c:idx val="3"/>
          <c:order val="3"/>
          <c:tx>
            <c:strRef>
              <c:f>'Rezultat RA'!$A$82</c:f>
              <c:strCache>
                <c:ptCount val="1"/>
                <c:pt idx="0">
                  <c:v>Deciziile atacate cu apel/recurs</c:v>
                </c:pt>
              </c:strCache>
            </c:strRef>
          </c:tx>
          <c:spPr>
            <a:solidFill>
              <a:srgbClr val="FFC000"/>
            </a:solidFill>
          </c:spPr>
          <c:invertIfNegative val="0"/>
          <c:val>
            <c:numRef>
              <c:f>'Rezultat RA'!$B$82:$E$82</c:f>
              <c:numCache>
                <c:formatCode>#,##0</c:formatCode>
                <c:ptCount val="3"/>
                <c:pt idx="0">
                  <c:v>109</c:v>
                </c:pt>
                <c:pt idx="1">
                  <c:v>170</c:v>
                </c:pt>
                <c:pt idx="2">
                  <c:v>193</c:v>
                </c:pt>
              </c:numCache>
            </c:numRef>
          </c:val>
          <c:extLst>
            <c:ext xmlns:c16="http://schemas.microsoft.com/office/drawing/2014/chart" uri="{C3380CC4-5D6E-409C-BE32-E72D297353CC}">
              <c16:uniqueId val="{00000002-DCF2-4CB7-B6A5-07B87FA2EABD}"/>
            </c:ext>
          </c:extLst>
        </c:ser>
        <c:dLbls>
          <c:showLegendKey val="0"/>
          <c:showVal val="0"/>
          <c:showCatName val="0"/>
          <c:showSerName val="0"/>
          <c:showPercent val="0"/>
          <c:showBubbleSize val="0"/>
        </c:dLbls>
        <c:gapWidth val="150"/>
        <c:axId val="175055968"/>
        <c:axId val="175056528"/>
      </c:barChart>
      <c:lineChart>
        <c:grouping val="standard"/>
        <c:varyColors val="0"/>
        <c:ser>
          <c:idx val="2"/>
          <c:order val="2"/>
          <c:tx>
            <c:strRef>
              <c:f>'Rezultat RA'!$A$85</c:f>
              <c:strCache>
                <c:ptCount val="1"/>
                <c:pt idx="0">
                  <c:v>Rata deciziilor modificate sau anulate de instanța de apel/recurs</c:v>
                </c:pt>
              </c:strCache>
            </c:strRef>
          </c:tx>
          <c:spPr>
            <a:ln w="38100">
              <a:solidFill>
                <a:srgbClr val="FF0000"/>
              </a:solidFill>
              <a:prstDash val="solid"/>
            </a:ln>
          </c:spPr>
          <c:marker>
            <c:symbol val="triangle"/>
            <c:size val="3"/>
            <c:spPr>
              <a:noFill/>
              <a:ln>
                <a:solidFill>
                  <a:srgbClr val="FF0000"/>
                </a:solidFill>
                <a:prstDash val="solid"/>
              </a:ln>
            </c:spPr>
          </c:marker>
          <c:dLbls>
            <c:dLbl>
              <c:idx val="0"/>
              <c:layout>
                <c:manualLayout>
                  <c:x val="-7.8908136482939636E-2"/>
                  <c:y val="-9.564330131105249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F2-4CB7-B6A5-07B87FA2EABD}"/>
                </c:ext>
              </c:extLst>
            </c:dLbl>
            <c:dLbl>
              <c:idx val="1"/>
              <c:layout>
                <c:manualLayout>
                  <c:x val="-1.0861978459589102E-2"/>
                  <c:y val="-4.85183117391499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F2-4CB7-B6A5-07B87FA2EABD}"/>
                </c:ext>
              </c:extLst>
            </c:dLbl>
            <c:dLbl>
              <c:idx val="2"/>
              <c:layout>
                <c:manualLayout>
                  <c:x val="-1.6379400850755725E-2"/>
                  <c:y val="-3.9610342105769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F2-4CB7-B6A5-07B87FA2EABD}"/>
                </c:ext>
              </c:extLst>
            </c:dLbl>
            <c:dLbl>
              <c:idx val="3"/>
              <c:layout>
                <c:manualLayout>
                  <c:x val="-1.2701239931215495E-2"/>
                  <c:y val="-6.48182302395574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F2-4CB7-B6A5-07B87FA2EABD}"/>
                </c:ext>
              </c:extLst>
            </c:dLbl>
            <c:dLbl>
              <c:idx val="4"/>
              <c:layout>
                <c:manualLayout>
                  <c:x val="6.4941623676350799E-3"/>
                  <c:y val="-6.201550387596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F2-4CB7-B6A5-07B87FA2EABD}"/>
                </c:ext>
              </c:extLst>
            </c:dLbl>
            <c:dLbl>
              <c:idx val="5"/>
              <c:layout>
                <c:manualLayout>
                  <c:x val="-1.3551814643859173E-2"/>
                  <c:y val="4.249529933452694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F2-4CB7-B6A5-07B87FA2EABD}"/>
                </c:ext>
              </c:extLst>
            </c:dLbl>
            <c:spPr>
              <a:solidFill>
                <a:sysClr val="window" lastClr="FFFFFF"/>
              </a:solidFill>
              <a:ln w="25400">
                <a:noFill/>
              </a:ln>
            </c:spPr>
            <c:txPr>
              <a:bodyPr/>
              <a:lstStyle/>
              <a:p>
                <a:pPr>
                  <a:defRPr sz="1000" b="1" i="0" u="none" strike="noStrike" baseline="0">
                    <a:solidFill>
                      <a:srgbClr val="000000"/>
                    </a:solidFill>
                    <a:latin typeface="Arial CE"/>
                    <a:ea typeface="Arial CE"/>
                    <a:cs typeface="Arial CE"/>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'Rezultat RA'!$B$35:$D$35</c:f>
              <c:numCache>
                <c:formatCode>General</c:formatCode>
                <c:ptCount val="3"/>
                <c:pt idx="0">
                  <c:v>2018</c:v>
                </c:pt>
                <c:pt idx="1">
                  <c:v>2019</c:v>
                </c:pt>
                <c:pt idx="2">
                  <c:v>2020</c:v>
                </c:pt>
              </c:numCache>
            </c:numRef>
          </c:cat>
          <c:val>
            <c:numRef>
              <c:f>'Rezultat RA'!$B$85:$E$85</c:f>
              <c:numCache>
                <c:formatCode>0.0%</c:formatCode>
                <c:ptCount val="3"/>
                <c:pt idx="0">
                  <c:v>3.1496062992125984E-2</c:v>
                </c:pt>
                <c:pt idx="1">
                  <c:v>5.6000000000000001E-2</c:v>
                </c:pt>
                <c:pt idx="2">
                  <c:v>5.2293577981651379E-2</c:v>
                </c:pt>
              </c:numCache>
            </c:numRef>
          </c:val>
          <c:smooth val="1"/>
          <c:extLst>
            <c:ext xmlns:c16="http://schemas.microsoft.com/office/drawing/2014/chart" uri="{C3380CC4-5D6E-409C-BE32-E72D297353CC}">
              <c16:uniqueId val="{00000009-DCF2-4CB7-B6A5-07B87FA2EABD}"/>
            </c:ext>
          </c:extLst>
        </c:ser>
        <c:ser>
          <c:idx val="4"/>
          <c:order val="4"/>
          <c:tx>
            <c:strRef>
              <c:f>'Rezultat RA'!$A$84</c:f>
              <c:strCache>
                <c:ptCount val="1"/>
                <c:pt idx="0">
                  <c:v>Rata deciziilor atacate cu apel/recurs</c:v>
                </c:pt>
              </c:strCache>
            </c:strRef>
          </c:tx>
          <c:spPr>
            <a:ln w="38100">
              <a:solidFill>
                <a:srgbClr val="FFC000"/>
              </a:solidFill>
            </a:ln>
          </c:spPr>
          <c:marker>
            <c:symbol val="diamond"/>
            <c:size val="2"/>
            <c:spPr>
              <a:solidFill>
                <a:srgbClr val="FFC000"/>
              </a:solidFill>
            </c:spPr>
          </c:marker>
          <c:dLbls>
            <c:dLbl>
              <c:idx val="3"/>
              <c:layout>
                <c:manualLayout>
                  <c:x val="-2.0689655172413793E-2"/>
                  <c:y val="-4.2379788101059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CF2-4CB7-B6A5-07B87FA2EABD}"/>
                </c:ext>
              </c:extLst>
            </c:dLbl>
            <c:dLbl>
              <c:idx val="4"/>
              <c:layout>
                <c:manualLayout>
                  <c:x val="-3.2184089057833286E-2"/>
                  <c:y val="-9.77995110024449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CF2-4CB7-B6A5-07B87FA2EABD}"/>
                </c:ext>
              </c:extLst>
            </c:dLbl>
            <c:spPr>
              <a:solidFill>
                <a:schemeClr val="bg1"/>
              </a:solidFill>
            </c:spPr>
            <c:txPr>
              <a:bodyPr/>
              <a:lstStyle/>
              <a:p>
                <a:pPr>
                  <a:defRPr sz="10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'Rezultat RA'!$B$84:$E$84</c:f>
              <c:numCache>
                <c:formatCode>0.0%</c:formatCode>
                <c:ptCount val="3"/>
                <c:pt idx="0">
                  <c:v>0.14304461942257218</c:v>
                </c:pt>
                <c:pt idx="1">
                  <c:v>0.19428571428571428</c:v>
                </c:pt>
                <c:pt idx="2">
                  <c:v>0.17706422018348625</c:v>
                </c:pt>
              </c:numCache>
            </c:numRef>
          </c:val>
          <c:smooth val="1"/>
          <c:extLst>
            <c:ext xmlns:c16="http://schemas.microsoft.com/office/drawing/2014/chart" uri="{C3380CC4-5D6E-409C-BE32-E72D297353CC}">
              <c16:uniqueId val="{0000000C-DCF2-4CB7-B6A5-07B87FA2EABD}"/>
            </c:ext>
          </c:extLst>
        </c:ser>
        <c:dLbls>
          <c:showLegendKey val="0"/>
          <c:showVal val="0"/>
          <c:showCatName val="0"/>
          <c:showSerName val="0"/>
          <c:showPercent val="0"/>
          <c:showBubbleSize val="0"/>
        </c:dLbls>
        <c:marker val="1"/>
        <c:smooth val="0"/>
        <c:axId val="175057088"/>
        <c:axId val="175057648"/>
      </c:lineChart>
      <c:catAx>
        <c:axId val="17505596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E"/>
                <a:ea typeface="Arial CE"/>
                <a:cs typeface="Arial CE"/>
              </a:defRPr>
            </a:pPr>
            <a:endParaRPr lang="ru-RU"/>
          </a:p>
        </c:txPr>
        <c:crossAx val="175056528"/>
        <c:crosses val="autoZero"/>
        <c:auto val="0"/>
        <c:lblAlgn val="ctr"/>
        <c:lblOffset val="100"/>
        <c:tickLblSkip val="1"/>
        <c:tickMarkSkip val="1"/>
        <c:noMultiLvlLbl val="0"/>
      </c:catAx>
      <c:valAx>
        <c:axId val="175056528"/>
        <c:scaling>
          <c:orientation val="minMax"/>
          <c:max val="3000"/>
        </c:scaling>
        <c:delete val="0"/>
        <c:axPos val="l"/>
        <c:majorGridlines>
          <c:spPr>
            <a:ln w="3175">
              <a:solidFill>
                <a:srgbClr val="C0C0C0"/>
              </a:solidFill>
              <a:prstDash val="solid"/>
            </a:ln>
          </c:spPr>
        </c:majorGridlines>
        <c:title>
          <c:tx>
            <c:rich>
              <a:bodyPr/>
              <a:lstStyle/>
              <a:p>
                <a:pPr>
                  <a:defRPr sz="800" b="0" i="0" u="none" strike="noStrike" baseline="0">
                    <a:solidFill>
                      <a:srgbClr val="000000"/>
                    </a:solidFill>
                    <a:latin typeface="Arial CE"/>
                    <a:ea typeface="Arial CE"/>
                    <a:cs typeface="Arial CE"/>
                  </a:defRPr>
                </a:pPr>
                <a:r>
                  <a:rPr lang="en-GB" sz="800" b="0" i="0" baseline="0">
                    <a:effectLst/>
                  </a:rPr>
                  <a:t>Num</a:t>
                </a:r>
                <a:r>
                  <a:rPr lang="ro-RO" sz="800" b="0" i="0" baseline="0">
                    <a:effectLst/>
                  </a:rPr>
                  <a:t>ă</a:t>
                </a:r>
                <a:r>
                  <a:rPr lang="en-GB" sz="800" b="0" i="0" baseline="0">
                    <a:effectLst/>
                  </a:rPr>
                  <a:t>rul de cauze</a:t>
                </a:r>
                <a:endParaRPr lang="en-GB" sz="800">
                  <a:effectLst/>
                </a:endParaRPr>
              </a:p>
            </c:rich>
          </c:tx>
          <c:layout>
            <c:manualLayout>
              <c:xMode val="edge"/>
              <c:yMode val="edge"/>
              <c:x val="1.6907807659013716E-2"/>
              <c:y val="0.34170147883898089"/>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75055968"/>
        <c:crosses val="autoZero"/>
        <c:crossBetween val="between"/>
      </c:valAx>
      <c:catAx>
        <c:axId val="175057088"/>
        <c:scaling>
          <c:orientation val="minMax"/>
        </c:scaling>
        <c:delete val="1"/>
        <c:axPos val="b"/>
        <c:numFmt formatCode="General" sourceLinked="1"/>
        <c:majorTickMark val="out"/>
        <c:minorTickMark val="none"/>
        <c:tickLblPos val="nextTo"/>
        <c:crossAx val="175057648"/>
        <c:crosses val="autoZero"/>
        <c:auto val="0"/>
        <c:lblAlgn val="ctr"/>
        <c:lblOffset val="100"/>
        <c:noMultiLvlLbl val="0"/>
      </c:catAx>
      <c:valAx>
        <c:axId val="175057648"/>
        <c:scaling>
          <c:orientation val="minMax"/>
        </c:scaling>
        <c:delete val="0"/>
        <c:axPos val="r"/>
        <c:title>
          <c:tx>
            <c:rich>
              <a:bodyPr/>
              <a:lstStyle/>
              <a:p>
                <a:pPr>
                  <a:defRPr sz="800" b="0" i="0" u="none" strike="noStrike" baseline="0">
                    <a:solidFill>
                      <a:srgbClr val="000000"/>
                    </a:solidFill>
                    <a:latin typeface="Arial CE"/>
                    <a:ea typeface="Arial CE"/>
                    <a:cs typeface="Arial CE"/>
                  </a:defRPr>
                </a:pPr>
                <a:r>
                  <a:rPr lang="ro-RO" sz="800" b="0" i="0" baseline="0">
                    <a:effectLst/>
                  </a:rPr>
                  <a:t>Rata apelurilor</a:t>
                </a:r>
                <a:endParaRPr lang="en-GB" sz="800">
                  <a:effectLst/>
                </a:endParaRPr>
              </a:p>
            </c:rich>
          </c:tx>
          <c:layout>
            <c:manualLayout>
              <c:xMode val="edge"/>
              <c:yMode val="edge"/>
              <c:x val="0.9008488452007205"/>
              <c:y val="0.36446161218679624"/>
            </c:manualLayout>
          </c:layout>
          <c:overlay val="0"/>
          <c:spPr>
            <a:noFill/>
            <a:ln w="25400">
              <a:noFill/>
            </a:ln>
          </c:spPr>
        </c:title>
        <c:numFmt formatCode="0.0%"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E"/>
                <a:ea typeface="Arial CE"/>
                <a:cs typeface="Arial CE"/>
              </a:defRPr>
            </a:pPr>
            <a:endParaRPr lang="ru-RU"/>
          </a:p>
        </c:txPr>
        <c:crossAx val="175057088"/>
        <c:crosses val="max"/>
        <c:crossBetween val="between"/>
      </c:valAx>
      <c:spPr>
        <a:solidFill>
          <a:srgbClr val="FFFFFF"/>
        </a:solidFill>
        <a:ln w="12700">
          <a:solidFill>
            <a:srgbClr val="808080"/>
          </a:solidFill>
          <a:prstDash val="solid"/>
        </a:ln>
      </c:spPr>
    </c:plotArea>
    <c:legend>
      <c:legendPos val="b"/>
      <c:layout>
        <c:manualLayout>
          <c:xMode val="edge"/>
          <c:yMode val="edge"/>
          <c:x val="2.2988982832555897E-3"/>
          <c:y val="0.85635147190740601"/>
          <c:w val="0.98346090748059267"/>
          <c:h val="0.1332319401395119"/>
        </c:manualLayout>
      </c:layout>
      <c:overlay val="0"/>
      <c:spPr>
        <a:solidFill>
          <a:srgbClr val="FFFFFF"/>
        </a:solidFill>
        <a:ln w="25400">
          <a:noFill/>
        </a:ln>
      </c:spPr>
      <c:txPr>
        <a:bodyPr/>
        <a:lstStyle/>
        <a:p>
          <a:pPr>
            <a:defRPr sz="735" b="0" i="0" u="none" strike="noStrike" baseline="0">
              <a:solidFill>
                <a:srgbClr val="000000"/>
              </a:solidFill>
              <a:latin typeface="Arial CE"/>
              <a:ea typeface="Arial CE"/>
              <a:cs typeface="Arial CE"/>
            </a:defRPr>
          </a:pPr>
          <a:endParaRPr lang="ru-RU"/>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114</TotalTime>
  <Pages>13</Pages>
  <Words>3019</Words>
  <Characters>17212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OleseaGoldur</dc:creator>
  <cp:keywords/>
  <dc:description/>
  <cp:lastModifiedBy>OleseaGoldur</cp:lastModifiedBy>
  <cp:revision>11</cp:revision>
  <cp:lastPrinted>2021-02-25T06:57:00Z</cp:lastPrinted>
  <dcterms:created xsi:type="dcterms:W3CDTF">2021-02-23T06:48:00Z</dcterms:created>
  <dcterms:modified xsi:type="dcterms:W3CDTF">2021-02-25T07:50:00Z</dcterms:modified>
</cp:coreProperties>
</file>