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84" w:rsidRPr="00A91334" w:rsidRDefault="00C80484" w:rsidP="00C80484">
      <w:pPr>
        <w:jc w:val="right"/>
        <w:rPr>
          <w:sz w:val="16"/>
          <w:szCs w:val="16"/>
          <w:lang w:val="ro-RO"/>
        </w:rPr>
      </w:pPr>
      <w:r w:rsidRPr="00A91334">
        <w:rPr>
          <w:sz w:val="16"/>
          <w:szCs w:val="16"/>
          <w:lang w:val="ro-RO"/>
        </w:rPr>
        <w:t xml:space="preserve">                                                                              </w:t>
      </w:r>
    </w:p>
    <w:p w:rsidR="00C80484" w:rsidRPr="00A91334" w:rsidRDefault="00C80484" w:rsidP="00C80484">
      <w:pPr>
        <w:jc w:val="right"/>
        <w:rPr>
          <w:lang w:val="ro-RO"/>
        </w:rPr>
      </w:pPr>
    </w:p>
    <w:p w:rsidR="00C80484" w:rsidRPr="00A91334" w:rsidRDefault="00C80484" w:rsidP="00C80484">
      <w:pPr>
        <w:pStyle w:val="a6"/>
        <w:jc w:val="right"/>
        <w:rPr>
          <w:rFonts w:ascii="Times New Roman" w:hAnsi="Times New Roman" w:cs="Times New Roman"/>
          <w:lang w:val="ro-RO"/>
        </w:rPr>
      </w:pPr>
      <w:r w:rsidRPr="00A91334">
        <w:rPr>
          <w:rFonts w:ascii="Times New Roman" w:hAnsi="Times New Roman" w:cs="Times New Roman"/>
          <w:lang w:val="ro-RO"/>
        </w:rPr>
        <w:t>APROBAT:</w:t>
      </w:r>
    </w:p>
    <w:p w:rsidR="00296C46" w:rsidRPr="00A91334" w:rsidRDefault="00C80484" w:rsidP="00296C46">
      <w:pPr>
        <w:pStyle w:val="a6"/>
        <w:jc w:val="right"/>
        <w:rPr>
          <w:rFonts w:ascii="Times New Roman" w:hAnsi="Times New Roman" w:cs="Times New Roman"/>
          <w:lang w:val="ro-RO"/>
        </w:rPr>
      </w:pPr>
      <w:proofErr w:type="spellStart"/>
      <w:r w:rsidRPr="00A91334">
        <w:rPr>
          <w:rFonts w:ascii="Times New Roman" w:hAnsi="Times New Roman" w:cs="Times New Roman"/>
          <w:lang w:val="ro-RO"/>
        </w:rPr>
        <w:t>Preşedintele</w:t>
      </w:r>
      <w:proofErr w:type="spellEnd"/>
      <w:r w:rsidRPr="00A91334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A91334">
        <w:rPr>
          <w:rFonts w:ascii="Times New Roman" w:hAnsi="Times New Roman" w:cs="Times New Roman"/>
          <w:lang w:val="ro-RO"/>
        </w:rPr>
        <w:t>Curţii</w:t>
      </w:r>
      <w:proofErr w:type="spellEnd"/>
      <w:r w:rsidRPr="00A91334">
        <w:rPr>
          <w:rFonts w:ascii="Times New Roman" w:hAnsi="Times New Roman" w:cs="Times New Roman"/>
          <w:lang w:val="ro-RO"/>
        </w:rPr>
        <w:t xml:space="preserve"> de Apel Cahul</w:t>
      </w:r>
    </w:p>
    <w:p w:rsidR="00C80484" w:rsidRPr="00A91334" w:rsidRDefault="00C80484" w:rsidP="00C80484">
      <w:pPr>
        <w:pStyle w:val="a6"/>
        <w:jc w:val="right"/>
        <w:rPr>
          <w:rFonts w:ascii="Times New Roman" w:hAnsi="Times New Roman" w:cs="Times New Roman"/>
          <w:u w:val="single"/>
          <w:lang w:val="ro-RO"/>
        </w:rPr>
      </w:pPr>
      <w:r w:rsidRPr="00A91334">
        <w:rPr>
          <w:rFonts w:ascii="Times New Roman" w:hAnsi="Times New Roman" w:cs="Times New Roman"/>
          <w:u w:val="single"/>
          <w:lang w:val="ro-RO"/>
        </w:rPr>
        <w:t>PETROV Ruslan</w:t>
      </w:r>
    </w:p>
    <w:p w:rsidR="00C80484" w:rsidRPr="00A91334" w:rsidRDefault="00C80484" w:rsidP="00C80484">
      <w:pPr>
        <w:pStyle w:val="a6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91334">
        <w:rPr>
          <w:rFonts w:ascii="Times New Roman" w:hAnsi="Times New Roman" w:cs="Times New Roman"/>
          <w:sz w:val="16"/>
          <w:szCs w:val="16"/>
          <w:lang w:val="ro-RO"/>
        </w:rPr>
        <w:t>(nume, prenume)</w:t>
      </w:r>
    </w:p>
    <w:p w:rsidR="00C80484" w:rsidRPr="00A91334" w:rsidRDefault="00C80484" w:rsidP="00C80484">
      <w:pPr>
        <w:pStyle w:val="a6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91334">
        <w:rPr>
          <w:rFonts w:ascii="Times New Roman" w:hAnsi="Times New Roman" w:cs="Times New Roman"/>
          <w:sz w:val="20"/>
          <w:szCs w:val="20"/>
          <w:lang w:val="ro-RO"/>
        </w:rPr>
        <w:t xml:space="preserve">_________________________ </w:t>
      </w:r>
    </w:p>
    <w:p w:rsidR="00C80484" w:rsidRPr="00A91334" w:rsidRDefault="00C80484" w:rsidP="00C80484">
      <w:pPr>
        <w:pStyle w:val="a6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A91334">
        <w:rPr>
          <w:rFonts w:ascii="Times New Roman" w:hAnsi="Times New Roman" w:cs="Times New Roman"/>
          <w:sz w:val="16"/>
          <w:szCs w:val="16"/>
          <w:lang w:val="ro-RO"/>
        </w:rPr>
        <w:t>(semnătura)</w:t>
      </w:r>
      <w:r w:rsidRPr="00A9133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C80484" w:rsidRPr="00296C46" w:rsidRDefault="00C80484" w:rsidP="00296C46">
      <w:pPr>
        <w:widowControl w:val="0"/>
        <w:tabs>
          <w:tab w:val="left" w:pos="104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pacing w:val="-2"/>
          <w:lang w:val="ro-RO" w:eastAsia="ro-RO"/>
        </w:rPr>
      </w:pPr>
      <w:r w:rsidRPr="00296C46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02 ianuarie 2020</w:t>
      </w:r>
    </w:p>
    <w:p w:rsidR="00C80484" w:rsidRPr="00A91334" w:rsidRDefault="00C80484" w:rsidP="004C0B8C">
      <w:pPr>
        <w:widowControl w:val="0"/>
        <w:tabs>
          <w:tab w:val="left" w:pos="10440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2"/>
          <w:lang w:val="ro-RO" w:eastAsia="ro-RO"/>
        </w:rPr>
      </w:pPr>
    </w:p>
    <w:p w:rsidR="00C80484" w:rsidRPr="00A91334" w:rsidRDefault="00C80484" w:rsidP="00CA2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91334">
        <w:rPr>
          <w:rFonts w:ascii="Times New Roman" w:hAnsi="Times New Roman" w:cs="Times New Roman"/>
          <w:b/>
          <w:sz w:val="28"/>
          <w:szCs w:val="28"/>
          <w:lang w:val="ro-RO"/>
        </w:rPr>
        <w:t>POLITICA DE COMUNICARE INTERNĂ ȘI EXTERNĂ</w:t>
      </w:r>
    </w:p>
    <w:p w:rsidR="00C80484" w:rsidRPr="00A91334" w:rsidRDefault="004C0B8C" w:rsidP="00CA2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 SERVICIULUI MONITORIZARE </w:t>
      </w:r>
      <w:r w:rsidR="00CA21F2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RELAȚII PUBLICE D</w:t>
      </w:r>
      <w:r w:rsidR="00CA21F2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C80484" w:rsidRPr="00A91334">
        <w:rPr>
          <w:rFonts w:ascii="Times New Roman" w:hAnsi="Times New Roman" w:cs="Times New Roman"/>
          <w:b/>
          <w:sz w:val="28"/>
          <w:szCs w:val="28"/>
          <w:lang w:val="ro-RO"/>
        </w:rPr>
        <w:t xml:space="preserve">N CADRUL CURȚII DE APEL CAHUL </w:t>
      </w:r>
    </w:p>
    <w:p w:rsidR="00C80484" w:rsidRPr="00A91334" w:rsidRDefault="00C80484" w:rsidP="00C80484">
      <w:pPr>
        <w:jc w:val="both"/>
        <w:rPr>
          <w:rFonts w:ascii="Times New Roman" w:hAnsi="Times New Roman" w:cs="Times New Roman"/>
          <w:b/>
          <w:bCs/>
          <w:color w:val="000000"/>
          <w:spacing w:val="-2"/>
          <w:lang w:val="ro-RO"/>
        </w:rPr>
      </w:pPr>
      <w:bookmarkStart w:id="0" w:name="_GoBack"/>
      <w:bookmarkEnd w:id="0"/>
    </w:p>
    <w:p w:rsidR="00C80484" w:rsidRPr="00A91334" w:rsidRDefault="00A91334" w:rsidP="00C80484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o-RO"/>
        </w:rPr>
      </w:pPr>
      <w:r w:rsidRPr="00A9133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o-RO"/>
        </w:rPr>
        <w:t>DISPOZIȚII GENERALE</w:t>
      </w:r>
    </w:p>
    <w:p w:rsidR="005D60B9" w:rsidRPr="00A91334" w:rsidRDefault="00C80484" w:rsidP="00296C46">
      <w:pPr>
        <w:pStyle w:val="a6"/>
        <w:spacing w:line="360" w:lineRule="auto"/>
        <w:ind w:firstLine="567"/>
        <w:rPr>
          <w:rFonts w:ascii="Times New Roman" w:eastAsia="Times New Roman" w:hAnsi="Times New Roman" w:cs="Times New Roman"/>
          <w:lang w:val="ro-RO"/>
        </w:rPr>
      </w:pPr>
      <w:r w:rsidRPr="00A91334">
        <w:rPr>
          <w:rStyle w:val="Corptext1"/>
          <w:rFonts w:eastAsia="Courier New"/>
          <w:sz w:val="24"/>
          <w:szCs w:val="24"/>
        </w:rPr>
        <w:t xml:space="preserve">Prezenta Politică de comunicare internă și externă în cadrul </w:t>
      </w:r>
      <w:r w:rsidR="00A91334" w:rsidRPr="00A91334">
        <w:rPr>
          <w:rStyle w:val="Corptext1"/>
          <w:rFonts w:eastAsia="Courier New"/>
          <w:sz w:val="24"/>
          <w:szCs w:val="24"/>
        </w:rPr>
        <w:t>instanței</w:t>
      </w:r>
      <w:r w:rsidRPr="00A91334">
        <w:rPr>
          <w:rStyle w:val="Corptext1"/>
          <w:rFonts w:eastAsia="Courier New"/>
          <w:sz w:val="24"/>
          <w:szCs w:val="24"/>
        </w:rPr>
        <w:t xml:space="preserve"> de ju</w:t>
      </w:r>
      <w:r w:rsidRPr="00A91334">
        <w:rPr>
          <w:rStyle w:val="Corptext1"/>
          <w:rFonts w:eastAsia="Courier New"/>
          <w:sz w:val="24"/>
          <w:szCs w:val="24"/>
        </w:rPr>
        <w:softHyphen/>
        <w:t xml:space="preserve">decată </w:t>
      </w:r>
      <w:r w:rsidR="00A91334" w:rsidRPr="00A91334">
        <w:rPr>
          <w:rStyle w:val="Corptext1"/>
          <w:rFonts w:eastAsia="Courier New"/>
          <w:sz w:val="24"/>
          <w:szCs w:val="24"/>
        </w:rPr>
        <w:t>stabilește</w:t>
      </w:r>
      <w:r w:rsidRPr="00A91334">
        <w:rPr>
          <w:rStyle w:val="Corptext1"/>
          <w:rFonts w:eastAsia="Courier New"/>
          <w:sz w:val="24"/>
          <w:szCs w:val="24"/>
        </w:rPr>
        <w:t xml:space="preserve"> reguli </w:t>
      </w:r>
      <w:r w:rsidR="00A91334" w:rsidRPr="00A91334">
        <w:rPr>
          <w:rStyle w:val="Corptext1"/>
          <w:rFonts w:eastAsia="Courier New"/>
          <w:sz w:val="24"/>
          <w:szCs w:val="24"/>
        </w:rPr>
        <w:t>și</w:t>
      </w:r>
      <w:r w:rsidRPr="00A91334">
        <w:rPr>
          <w:rStyle w:val="Corptext1"/>
          <w:rFonts w:eastAsia="Courier New"/>
          <w:sz w:val="24"/>
          <w:szCs w:val="24"/>
        </w:rPr>
        <w:t xml:space="preserve"> recomandări privind</w:t>
      </w:r>
      <w:r w:rsidRPr="00A91334">
        <w:rPr>
          <w:rStyle w:val="Corptext1"/>
          <w:rFonts w:eastAsia="Courier New"/>
          <w:color w:val="auto"/>
          <w:sz w:val="24"/>
          <w:szCs w:val="24"/>
        </w:rPr>
        <w:t xml:space="preserve"> comunicarea </w:t>
      </w:r>
      <w:r w:rsidRPr="00A91334">
        <w:rPr>
          <w:rStyle w:val="Corptext1"/>
          <w:rFonts w:eastAsia="Courier New"/>
          <w:sz w:val="24"/>
          <w:szCs w:val="24"/>
        </w:rPr>
        <w:t>prin intermediul serviciului responsabil de informare publică și relațiile cu mass-media.</w:t>
      </w:r>
    </w:p>
    <w:p w:rsidR="005D60B9" w:rsidRPr="00A91334" w:rsidRDefault="00A91334" w:rsidP="00296C46">
      <w:pPr>
        <w:pStyle w:val="a6"/>
        <w:spacing w:line="360" w:lineRule="auto"/>
        <w:ind w:firstLine="567"/>
        <w:rPr>
          <w:rFonts w:ascii="Times New Roman" w:eastAsia="Times New Roman" w:hAnsi="Times New Roman" w:cs="Times New Roman"/>
          <w:lang w:val="ro-RO"/>
        </w:rPr>
      </w:pPr>
      <w:r w:rsidRPr="00A91334">
        <w:rPr>
          <w:rFonts w:ascii="Times New Roman" w:eastAsia="Times New Roman" w:hAnsi="Times New Roman" w:cs="Times New Roman"/>
          <w:lang w:val="ro-RO"/>
        </w:rPr>
        <w:t>Acesta</w:t>
      </w:r>
      <w:r w:rsidR="005D60B9" w:rsidRPr="00A91334">
        <w:rPr>
          <w:rFonts w:ascii="Times New Roman" w:eastAsia="Times New Roman" w:hAnsi="Times New Roman" w:cs="Times New Roman"/>
          <w:lang w:val="ro-RO"/>
        </w:rPr>
        <w:t xml:space="preserve"> Politică de comunicare se referă la serviciul monitorizare și relații publice al Curții de Apel Cahul. </w:t>
      </w:r>
    </w:p>
    <w:p w:rsidR="005D60B9" w:rsidRPr="005D60B9" w:rsidRDefault="005D60B9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Prevederile prezentei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91334">
        <w:rPr>
          <w:rStyle w:val="Corptext1"/>
          <w:rFonts w:eastAsia="Courier New"/>
          <w:sz w:val="24"/>
          <w:szCs w:val="24"/>
        </w:rPr>
        <w:t>politici de comunicare internă și externă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aplica în mod corespunzător serviciul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 și relații publice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D60B9" w:rsidRPr="005D60B9" w:rsidRDefault="005D60B9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activitatea sa, serviciul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 și relații publice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conduce de prevederile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Convenției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Europene pentru apărarea drepturilor omului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libertăților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fundamentale, Recomandarea (2002)2 a Comitetului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Miniștrilor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Consiliului Europei privind accesul la documente, Recomandarea (2003)13 a Comitetului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Miniștrilor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 Consiliului Europei privind furnizarea de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intermediul mass-media cu privire la procesele penale, </w:t>
      </w:r>
      <w:hyperlink r:id="rId5" w:history="1">
        <w:r w:rsidRPr="00A91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Legea nr.982-XIV din 11.05.2000</w:t>
        </w:r>
      </w:hyperlink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accesul la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informație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hyperlink r:id="rId6" w:history="1">
        <w:r w:rsidRPr="00A91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Legea nr.245-XIV din 27.11.2008</w:t>
        </w:r>
      </w:hyperlink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secretul de stat,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Codul administrativ din 01.04.2019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hyperlink r:id="rId7" w:history="1">
        <w:r w:rsidRPr="00A91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Legea nr.514 din 06.07.1995</w:t>
        </w:r>
      </w:hyperlink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organizarea judecătorească, </w:t>
      </w:r>
      <w:hyperlink r:id="rId8" w:history="1">
        <w:r w:rsidRPr="00A91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 xml:space="preserve">Legea cu privire la </w:t>
        </w:r>
        <w:r w:rsidR="00A91334" w:rsidRPr="00A91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protecția</w:t>
        </w:r>
        <w:r w:rsidRPr="00A91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 xml:space="preserve"> datelor cu caracter personal</w:t>
        </w:r>
      </w:hyperlink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hyperlink r:id="rId9" w:history="1">
        <w:r w:rsidRPr="00A913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Legea presei nr.243-XIII din 26.10.1994</w:t>
        </w:r>
      </w:hyperlink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Hotărârea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Consiliului Superior al Magistraturii nr 740/31 din 15.10.2013,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Hotărârea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Consiliului Superior al Magistraturii nr 587/24 din 11.08.2015, 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 de ordine internă al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Curții de Apel Cahul 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Regulamentul cu privire la organizarea și funcționarea secretariatului Curții de Apel Cahul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D60B9" w:rsidRPr="005D60B9" w:rsidRDefault="005D60B9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Potrivit prezent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727D" w:rsidRPr="00A91334">
        <w:rPr>
          <w:rStyle w:val="Corptext1"/>
          <w:rFonts w:eastAsia="Courier New"/>
          <w:sz w:val="24"/>
          <w:szCs w:val="24"/>
        </w:rPr>
        <w:t>politici de comunicare internă și externă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interesul public este interesul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societății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fată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evenimentele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procesele ce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țin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autoadministrarea judecătorească, exercitarea 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puterii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judecătorești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activitatea 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fată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alte subiecte care trezesc interesul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societății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al unei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pârți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ei.</w:t>
      </w:r>
    </w:p>
    <w:p w:rsidR="005D60B9" w:rsidRPr="005D60B9" w:rsidRDefault="005D60B9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Serviciul 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monitorizare și relații publice 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furnizează, din oficiu sau la solicitare,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interes public în limitele legii, obiectiv, complet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operativ, cu acordul prealabil al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președintelui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al judecătorului/judecătorilor care examinează cauza despre care se solicită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5D60B9" w:rsidRPr="005D60B9" w:rsidRDefault="005D60B9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 este permis judecătorilor,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funcționarilor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publici, personalului auxiliar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altor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 din cadrul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furnizeze, în numele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judecată,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cauzele în examinare sau de administrare a sistemului judecătoresc, aceste persoane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având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obligația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îndrume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solicitanții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către s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>erviciu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l monitorizare și relații publice</w:t>
      </w:r>
      <w:r w:rsidRPr="005D60B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5D60B9" w:rsidRPr="00A91334" w:rsidRDefault="005D60B9" w:rsidP="00296C4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Serviciul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monitorizare și relații publice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este subordonat nemijlocit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președintelui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judecată, iar în lipsa acestuia,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vicepreședintelui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judecătorului, care exercită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funcțiile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președintelui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</w:p>
    <w:p w:rsidR="00FD727D" w:rsidRPr="00FD727D" w:rsidRDefault="00FD727D" w:rsidP="00296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D727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DREPTURILE ŞI OBLIGAŢIILE SPECIALISTULUI </w:t>
      </w:r>
      <w:r w:rsidR="00296C4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PRINCIPAL </w:t>
      </w:r>
    </w:p>
    <w:p w:rsid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</w:t>
      </w:r>
      <w:r w:rsidRPr="00A9133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DIN SERVICIUL MONITORIZARE ȘI RELAȚII PUBLICE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96C46" w:rsidRPr="00A91334" w:rsidRDefault="00296C46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Numele, prenumele, datele de contact (numă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rul de telefon, fax, e-mail) al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speciali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stului din s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erviciu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monitorizare și relații publice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se expediază cu titlu de informare Consiliului Superior al Magistraturii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publică obligatoriu pe pagina web 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judecată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datele de contact ale specialistului responsabil din serviciul monitorizare și relații publice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Identificarea specialistului Serviciului se face prin ecuson, cu indicarea prenumelui, numelui </w:t>
      </w:r>
      <w:proofErr w:type="spellStart"/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funcției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23E5C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Serviciul monitorizare și relații publice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are următoarele drepturi:</w:t>
      </w: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acces la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activitatea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consultă orice document sau dosar aflat în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instanță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cu respectarea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confidențialității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informației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care a avut acces;</w:t>
      </w: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organizează, cu acordul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președintelui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conferințe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presă, briefing-uri, interviuri, întâlniri;</w:t>
      </w: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difuzeze comunicate de presă, note informative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alte materiale informative prin intermediul mass-media privind activitatea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acordul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președintelui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instanță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să expună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difuzeze opinia/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poziția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asupra unor probleme abordate în mass-media referitor la activitatea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alte drepturi ce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țin</w:t>
      </w:r>
      <w:r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nemijl</w:t>
      </w:r>
      <w:r w:rsidR="00223E5C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ocit de activitatea serviciului monitorizare și relații publice.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Serviciul monitorizare și relații publice</w:t>
      </w:r>
      <w:r w:rsidR="00FD727D" w:rsidRPr="00FD72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are următoarele </w:t>
      </w:r>
      <w:r w:rsidR="00A91334" w:rsidRPr="00A9133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obligații</w:t>
      </w:r>
      <w:r w:rsidR="00FD727D" w:rsidRPr="00FD72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respecte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confidențialitatea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informațiilor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care a avut acces;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informează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despre materialele apărute în mass-media referitor la activitatea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privitor la sist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emul judecătoresc în ansamblu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D727D" w:rsidRPr="00A91334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consulte judecătorul care examinează cauza înainte de a se expune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difuzeze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privind cauzele concrete aflate pe rolul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despre care se solicită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23E5C" w:rsidRPr="00A91334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deservească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justițiabilii într-un mod profesionist și să le acorde un tratament echitabil și nediscriminatoriu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indif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erent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sex,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gen,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situația socială și materială, infirmitate și alte caracteristici sociale;</w:t>
      </w:r>
    </w:p>
    <w:p w:rsidR="00A91334" w:rsidRPr="00A91334" w:rsidRDefault="00A91334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să fie politicoși și dispuși să ofere informații utile tuturor justițiabililor; </w:t>
      </w:r>
    </w:p>
    <w:p w:rsidR="00A91334" w:rsidRPr="00FD727D" w:rsidRDefault="00A91334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să utilizeze un limbaj simplu și să răspundă cu promptitudine la toate solicitările;  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execută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tine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banca de date privind materialele publicate în mass-media referitor la activitatea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menține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banca datelor de contact 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reprezentanților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mass-media;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informează judecătorul sau completul de judecători despre solicitarea mass-media de a înregistra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ședința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judecată într-o cauză concretă, în scopul asigurării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spațiului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necesar pentru persoanele interesate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participanții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proces;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consiliază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referitor la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urmează să fie transmisă publicului; 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transmite operativ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solicitanților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materialele solicitate;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însoțește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evenimentele publice în care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face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declarații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public în ceea ce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privește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activitatea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; </w:t>
      </w:r>
    </w:p>
    <w:p w:rsidR="00296C46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alte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obligații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țin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nemij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locit de activitatea serviciul monitorizare și relații publice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96C46" w:rsidRDefault="00296C46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96C46" w:rsidRDefault="00296C46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D727D" w:rsidRPr="00FD727D" w:rsidRDefault="00FD727D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D72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Serviciului</w:t>
      </w:r>
      <w:r w:rsidR="00223E5C" w:rsidRPr="00A9133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monitorizare și relații publice</w:t>
      </w:r>
      <w:r w:rsidRPr="00FD72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 se interzice: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expună în mass-media punctul propriu de vedere asupra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activității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a sistemului judecătoresc;</w:t>
      </w:r>
    </w:p>
    <w:p w:rsidR="00FD727D" w:rsidRPr="00FD727D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furnizeze date,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alte materiale fără acordul prealabil al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președintelui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al judecătorului responsabil de examinarea dosarului despre care se solicită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223E5C" w:rsidRPr="00A91334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intre în polemici cu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președintele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FD727D" w:rsidRPr="00FD72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mass-media în cadrul evenimentelor publice; </w:t>
      </w:r>
    </w:p>
    <w:p w:rsidR="00FD727D" w:rsidRPr="00A91334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 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alte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interdicții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rezultă din exercitarea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funcției</w:t>
      </w:r>
      <w:r w:rsidR="00FD727D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publice.</w:t>
      </w:r>
    </w:p>
    <w:p w:rsidR="00223E5C" w:rsidRPr="00A91334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3E5C" w:rsidRPr="00223E5C" w:rsidRDefault="00223E5C" w:rsidP="00296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MODUL DE PREZENTARE A INFORMAŢIILOR </w:t>
      </w:r>
    </w:p>
    <w:p w:rsidR="00223E5C" w:rsidRDefault="00223E5C" w:rsidP="00296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 INFORMAŢIILE FURNIZATE</w:t>
      </w:r>
    </w:p>
    <w:p w:rsidR="00296C46" w:rsidRPr="00223E5C" w:rsidRDefault="00296C46" w:rsidP="00296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23E5C" w:rsidRPr="00223E5C" w:rsidRDefault="00A91334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Informația</w:t>
      </w:r>
      <w:r w:rsidR="00223E5C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solicitată este oferită, din proprie 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inițiativă</w:t>
      </w:r>
      <w:r w:rsidR="00223E5C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la cererea publicului sau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reprezentanților</w:t>
      </w:r>
      <w:r w:rsidR="00223E5C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mass-media în scris, verbal, prin 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posta</w:t>
      </w:r>
      <w:r w:rsidR="00223E5C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electronică sau prin plasarea pe pagina web a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="00223E5C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23E5C" w:rsidRPr="00223E5C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Răspuns la solicitare poate fi oferit prin telefon. În cazurile ce nu suferă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amânare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oferă prin telefon dacă solicitantul este identificat sau identificabil, sau dacă colaborează de mult timp cu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instanța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judecătorească.</w:t>
      </w:r>
    </w:p>
    <w:p w:rsidR="00223E5C" w:rsidRPr="00223E5C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Răspunsul la solicitările mass-media va fi oferit operativ, dar nu mai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târziu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sfârșitul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zilei în care a fost primită solicitarea. În cazul în care nu au fost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obținute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toate aprobările, răspunsul urmează a fi oferit în următoarea zi lucrătoare. În cazul în care consideră necesar, după sau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până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oferirea răspunsului, s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erviciul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 și relații publice</w:t>
      </w:r>
      <w:r w:rsidRPr="00FD72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poate organiza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conferințe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presă sau plasa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informații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suplimentare pe pagina web 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23E5C" w:rsidRPr="00223E5C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relația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mass-media,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erviciul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 și relații publice</w:t>
      </w:r>
      <w:r w:rsidRPr="00FD72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tine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 de respectarea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prezumției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nevinovăție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independenței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judiciare, 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imparțialității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obiectivității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actului de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justiție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contribui la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creșterea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menținerea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încrederii în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justiție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rândul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opiniei publice. </w:t>
      </w:r>
    </w:p>
    <w:p w:rsidR="00223E5C" w:rsidRPr="00A91334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cazul în care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informația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solicitată nu poate fi făcută publică,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erviciul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monitorizare și relații publice</w:t>
      </w:r>
      <w:r w:rsidRPr="00FD72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aduce acest fapt la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cunoștința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solicitantului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explica motivele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imposibilității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neprezentării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informației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. La solicitare, aceste motive vor fi prezentate în scris.</w:t>
      </w:r>
    </w:p>
    <w:p w:rsidR="00223E5C" w:rsidRPr="00A91334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3E5C" w:rsidRDefault="00223E5C" w:rsidP="00296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PREZENŢA MASS-MEDIA ÎN SALA DE JUDECATĂ</w:t>
      </w:r>
    </w:p>
    <w:p w:rsidR="00296C46" w:rsidRPr="00223E5C" w:rsidRDefault="00296C46" w:rsidP="00296C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23E5C" w:rsidRPr="00223E5C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Sunt interzise înregistrările audio, video sau fotografierea de către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mass-media a cauzelor examinate în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ședință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închisă. Înregistrarea audio, video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fotografierea celorlalte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ședințe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judecată de către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mass-media poate fi permis de către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ședinței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Mass-media poate efectua înregistrarea audio, video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fotografierea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pronunțării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hotărârilor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toate cauzele, cu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excepția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celor care au fost examinate în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ședință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închisă, pentru a proteja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viața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privată 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pârților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23E5C" w:rsidRPr="00223E5C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cazul în care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spațiul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care se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desfășoară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ședința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nu permite înregistrarea audio, video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fotografierea de către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toți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mass-media,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președintele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ședinței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prin încheiere, poate desemna unul sau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câțiva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ai mass-media pentru a efectua înregistrarea audio, video sau fotografierea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ședinței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obligarea acestora să transmită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celorlalți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mass-media rezultatele înregistrării audio, video sau a fotografierii efectuate. În acest caz, copia materialelor vor fi prezentate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celorlalți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reprezentanți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mass-media imediat după finalizarea </w:t>
      </w:r>
      <w:r w:rsidR="00A91334"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ședinței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23E5C" w:rsidRPr="00223E5C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223E5C" w:rsidRPr="00223E5C" w:rsidRDefault="00223E5C" w:rsidP="00296C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cazul în care în presă se fac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afirmații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false, care ar putea pune în pericol imaginea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justiției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, s</w:t>
      </w:r>
      <w:r w:rsidRPr="00223E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erviciul 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monitorizare și relații publice, ca reprezentant oficial al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relațiile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mass-media, poate exprima opinia prin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declarații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publice, pentru a infirma oricare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afirmație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falsă sau defăimătoare. Replica va fi publicată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site-ul </w:t>
      </w:r>
      <w:r w:rsidR="00A91334"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instanței</w:t>
      </w: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judecată.</w:t>
      </w:r>
    </w:p>
    <w:p w:rsidR="00223E5C" w:rsidRPr="00A91334" w:rsidRDefault="00223E5C" w:rsidP="00223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91334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sectPr w:rsidR="00223E5C" w:rsidRPr="00A91334" w:rsidSect="004C0B8C">
      <w:pgSz w:w="12240" w:h="15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6075"/>
    <w:multiLevelType w:val="multilevel"/>
    <w:tmpl w:val="410A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912C3"/>
    <w:multiLevelType w:val="multilevel"/>
    <w:tmpl w:val="D584A1D6"/>
    <w:lvl w:ilvl="0">
      <w:start w:val="1"/>
      <w:numFmt w:val="upperRoman"/>
      <w:lvlText w:val="%1."/>
      <w:lvlJc w:val="left"/>
      <w:pPr>
        <w:ind w:left="1520" w:hanging="720"/>
      </w:pPr>
      <w:rPr>
        <w:rFonts w:ascii="Times New Roman" w:hAnsi="Times New Roman" w:cs="Times New Roman" w:hint="default"/>
        <w:sz w:val="21"/>
      </w:rPr>
    </w:lvl>
    <w:lvl w:ilvl="1">
      <w:start w:val="1"/>
      <w:numFmt w:val="decimal"/>
      <w:isLgl/>
      <w:lvlText w:val="%1.%2"/>
      <w:lvlJc w:val="left"/>
      <w:pPr>
        <w:ind w:left="1560" w:hanging="720"/>
      </w:pPr>
      <w:rPr>
        <w:rFonts w:ascii="Times New Roman" w:hAnsi="Times New Roman" w:cs="Times New Roman" w:hint="default"/>
        <w:sz w:val="21"/>
      </w:rPr>
    </w:lvl>
    <w:lvl w:ilvl="2">
      <w:start w:val="1"/>
      <w:numFmt w:val="decimal"/>
      <w:isLgl/>
      <w:lvlText w:val="%1.%2.%3"/>
      <w:lvlJc w:val="left"/>
      <w:pPr>
        <w:ind w:left="1600" w:hanging="720"/>
      </w:pPr>
      <w:rPr>
        <w:rFonts w:ascii="Times New Roman" w:hAnsi="Times New Roman" w:cs="Times New Roman"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2000" w:hanging="1080"/>
      </w:pPr>
      <w:rPr>
        <w:rFonts w:ascii="Times New Roman" w:hAnsi="Times New Roman" w:cs="Times New Roman"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2400" w:hanging="1440"/>
      </w:pPr>
      <w:rPr>
        <w:rFonts w:ascii="Times New Roman" w:hAnsi="Times New Roman" w:cs="Times New Roman"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2800" w:hanging="1800"/>
      </w:pPr>
      <w:rPr>
        <w:rFonts w:ascii="Times New Roman" w:hAnsi="Times New Roman" w:cs="Times New Roman"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3200" w:hanging="2160"/>
      </w:pPr>
      <w:rPr>
        <w:rFonts w:ascii="Times New Roman" w:hAnsi="Times New Roman" w:cs="Times New Roman"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ascii="Times New Roman" w:hAnsi="Times New Roman" w:cs="Times New Roman"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3640" w:hanging="2520"/>
      </w:pPr>
      <w:rPr>
        <w:rFonts w:ascii="Times New Roman" w:hAnsi="Times New Roman" w:cs="Times New Roman" w:hint="default"/>
        <w:sz w:val="21"/>
      </w:rPr>
    </w:lvl>
  </w:abstractNum>
  <w:abstractNum w:abstractNumId="2">
    <w:nsid w:val="38997C40"/>
    <w:multiLevelType w:val="hybridMultilevel"/>
    <w:tmpl w:val="9712056C"/>
    <w:lvl w:ilvl="0" w:tplc="654ECB44">
      <w:start w:val="1"/>
      <w:numFmt w:val="decimal"/>
      <w:pStyle w:val="NormalAriel"/>
      <w:lvlText w:val="%1."/>
      <w:lvlJc w:val="left"/>
      <w:pPr>
        <w:tabs>
          <w:tab w:val="num" w:pos="140"/>
        </w:tabs>
        <w:ind w:left="350" w:hanging="17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2"/>
        <w:szCs w:val="22"/>
      </w:rPr>
    </w:lvl>
    <w:lvl w:ilvl="2" w:tplc="DCF68850">
      <w:start w:val="5"/>
      <w:numFmt w:val="lowerLetter"/>
      <w:lvlText w:val="%3."/>
      <w:lvlJc w:val="left"/>
      <w:pPr>
        <w:tabs>
          <w:tab w:val="num" w:pos="1630"/>
        </w:tabs>
        <w:ind w:left="163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3">
    <w:nsid w:val="41CC67D6"/>
    <w:multiLevelType w:val="multilevel"/>
    <w:tmpl w:val="97DE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E57CD"/>
    <w:multiLevelType w:val="hybridMultilevel"/>
    <w:tmpl w:val="ED987BB0"/>
    <w:lvl w:ilvl="0" w:tplc="212E62F6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3E92B06"/>
    <w:multiLevelType w:val="multilevel"/>
    <w:tmpl w:val="74EC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85"/>
    <w:rsid w:val="00223E5C"/>
    <w:rsid w:val="00296C46"/>
    <w:rsid w:val="004C0585"/>
    <w:rsid w:val="004C0B8C"/>
    <w:rsid w:val="005D60B9"/>
    <w:rsid w:val="006A1687"/>
    <w:rsid w:val="008334C1"/>
    <w:rsid w:val="00A91334"/>
    <w:rsid w:val="00C80484"/>
    <w:rsid w:val="00CA21F2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D05F-097E-4E7E-AC3F-097A6020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484"/>
    <w:rPr>
      <w:b/>
      <w:bCs/>
    </w:rPr>
  </w:style>
  <w:style w:type="character" w:styleId="a5">
    <w:name w:val="Emphasis"/>
    <w:basedOn w:val="a0"/>
    <w:uiPriority w:val="20"/>
    <w:qFormat/>
    <w:rsid w:val="00C80484"/>
    <w:rPr>
      <w:i/>
      <w:iCs/>
    </w:rPr>
  </w:style>
  <w:style w:type="paragraph" w:customStyle="1" w:styleId="NormalAriel">
    <w:name w:val="Normal+Ariel"/>
    <w:aliases w:val="1"/>
    <w:basedOn w:val="a"/>
    <w:rsid w:val="00C80484"/>
    <w:pPr>
      <w:numPr>
        <w:numId w:val="4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/>
      <w:color w:val="000000"/>
      <w:spacing w:val="-2"/>
      <w:sz w:val="24"/>
      <w:lang w:val="ro-RO" w:eastAsia="ro-RO"/>
    </w:rPr>
  </w:style>
  <w:style w:type="paragraph" w:styleId="a6">
    <w:name w:val="No Spacing"/>
    <w:uiPriority w:val="1"/>
    <w:qFormat/>
    <w:rsid w:val="00C80484"/>
    <w:pPr>
      <w:spacing w:after="0" w:line="240" w:lineRule="auto"/>
    </w:pPr>
    <w:rPr>
      <w:lang w:val="ro-MD"/>
    </w:rPr>
  </w:style>
  <w:style w:type="character" w:customStyle="1" w:styleId="Corptext1">
    <w:name w:val="Corp text1"/>
    <w:basedOn w:val="a0"/>
    <w:rsid w:val="00C804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Bodytext2">
    <w:name w:val="Body text (2)"/>
    <w:basedOn w:val="a0"/>
    <w:rsid w:val="00C80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paragraph" w:styleId="a7">
    <w:name w:val="List Paragraph"/>
    <w:basedOn w:val="a"/>
    <w:uiPriority w:val="34"/>
    <w:qFormat/>
    <w:rsid w:val="00C8048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o-RO" w:eastAsia="ru-RU"/>
    </w:rPr>
  </w:style>
  <w:style w:type="character" w:styleId="a8">
    <w:name w:val="Hyperlink"/>
    <w:basedOn w:val="a0"/>
    <w:uiPriority w:val="99"/>
    <w:semiHidden/>
    <w:unhideWhenUsed/>
    <w:rsid w:val="005D60B9"/>
    <w:rPr>
      <w:color w:val="0000FF"/>
      <w:u w:val="single"/>
    </w:rPr>
  </w:style>
  <w:style w:type="paragraph" w:customStyle="1" w:styleId="cp">
    <w:name w:val="cp"/>
    <w:basedOn w:val="a"/>
    <w:rsid w:val="00FD72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10708133" TargetMode="External"/><Relationship Id="rId3" Type="http://schemas.openxmlformats.org/officeDocument/2006/relationships/settings" Target="settings.xml"/><Relationship Id="rId7" Type="http://schemas.openxmlformats.org/officeDocument/2006/relationships/hyperlink" Target="lex:LPLP19950706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x:LPLP20081127245" TargetMode="External"/><Relationship Id="rId11" Type="http://schemas.openxmlformats.org/officeDocument/2006/relationships/theme" Target="theme/theme1.xml"/><Relationship Id="rId5" Type="http://schemas.openxmlformats.org/officeDocument/2006/relationships/hyperlink" Target="lex:LPLP200005119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ex:LPLP19941026243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Elena_214</cp:lastModifiedBy>
  <cp:revision>6</cp:revision>
  <cp:lastPrinted>2020-03-17T15:20:00Z</cp:lastPrinted>
  <dcterms:created xsi:type="dcterms:W3CDTF">2020-03-17T14:10:00Z</dcterms:created>
  <dcterms:modified xsi:type="dcterms:W3CDTF">2020-03-17T15:20:00Z</dcterms:modified>
</cp:coreProperties>
</file>