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093" w:rsidRPr="00200430" w:rsidRDefault="004C4093" w:rsidP="004C4093">
      <w:pPr>
        <w:tabs>
          <w:tab w:val="left" w:pos="142"/>
        </w:tabs>
        <w:spacing w:line="240" w:lineRule="auto"/>
        <w:ind w:right="-1"/>
        <w:jc w:val="center"/>
        <w:rPr>
          <w:b/>
          <w:color w:val="000000" w:themeColor="text1"/>
          <w:sz w:val="28"/>
          <w:szCs w:val="28"/>
          <w:lang w:val="ro-RO"/>
        </w:rPr>
      </w:pPr>
      <w:r w:rsidRPr="00200430">
        <w:rPr>
          <w:noProof/>
          <w:color w:val="000000" w:themeColor="text1"/>
          <w:lang w:val="ro-RO" w:eastAsia="ro-R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79375</wp:posOffset>
            </wp:positionH>
            <wp:positionV relativeFrom="paragraph">
              <wp:posOffset>15875</wp:posOffset>
            </wp:positionV>
            <wp:extent cx="5934075" cy="1000125"/>
            <wp:effectExtent l="19050" t="0" r="9525" b="0"/>
            <wp:wrapNone/>
            <wp:docPr id="10" name="Рисунок 1" descr="header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eader_smal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4093" w:rsidRPr="00200430" w:rsidRDefault="004C4093" w:rsidP="004C4093">
      <w:pPr>
        <w:tabs>
          <w:tab w:val="left" w:pos="142"/>
        </w:tabs>
        <w:spacing w:line="240" w:lineRule="auto"/>
        <w:ind w:right="-1"/>
        <w:rPr>
          <w:b/>
          <w:color w:val="000000" w:themeColor="text1"/>
          <w:lang w:val="ro-RO"/>
        </w:rPr>
      </w:pPr>
      <w:r w:rsidRPr="00200430">
        <w:rPr>
          <w:color w:val="000000" w:themeColor="text1"/>
          <w:sz w:val="72"/>
          <w:lang w:val="ro-RO"/>
        </w:rPr>
        <w:t xml:space="preserve"> Curtea de Apel Cahul</w:t>
      </w:r>
      <w:r w:rsidRPr="00200430">
        <w:rPr>
          <w:color w:val="000000" w:themeColor="text1"/>
          <w:sz w:val="72"/>
          <w:lang w:val="ro-RO"/>
        </w:rPr>
        <w:br/>
      </w:r>
      <w:r w:rsidRPr="00200430">
        <w:rPr>
          <w:b/>
          <w:color w:val="000000" w:themeColor="text1"/>
          <w:lang w:val="ro-RO"/>
        </w:rPr>
        <w:t xml:space="preserve">          </w:t>
      </w:r>
    </w:p>
    <w:p w:rsidR="004C4093" w:rsidRPr="00200430" w:rsidRDefault="004C4093" w:rsidP="004C4093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</w:pPr>
    </w:p>
    <w:p w:rsidR="004C4093" w:rsidRPr="00200430" w:rsidRDefault="004C4093" w:rsidP="004C4093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</w:pPr>
      <w:r w:rsidRPr="00200430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>Notă informativă</w:t>
      </w:r>
    </w:p>
    <w:p w:rsidR="004C4093" w:rsidRPr="00200430" w:rsidRDefault="004C4093" w:rsidP="004C4093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</w:pPr>
      <w:r w:rsidRPr="00200430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 xml:space="preserve">cu privire la activitatea </w:t>
      </w:r>
      <w:r w:rsidR="00850420" w:rsidRPr="00200430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>Curții</w:t>
      </w:r>
      <w:r w:rsidRPr="00200430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 xml:space="preserve"> de Apel Cahul pe parcursul</w:t>
      </w:r>
    </w:p>
    <w:p w:rsidR="004C4093" w:rsidRPr="00200430" w:rsidRDefault="005F0920" w:rsidP="004C4093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</w:pPr>
      <w:r w:rsidRPr="00200430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>6</w:t>
      </w:r>
      <w:r w:rsidR="004C4093" w:rsidRPr="00200430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 xml:space="preserve"> luni a anului 2016</w:t>
      </w:r>
    </w:p>
    <w:p w:rsidR="004C4093" w:rsidRPr="00200430" w:rsidRDefault="004C4093" w:rsidP="004C4093">
      <w:pPr>
        <w:pStyle w:val="a5"/>
        <w:tabs>
          <w:tab w:val="left" w:pos="142"/>
        </w:tabs>
        <w:ind w:right="-1"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</w:pPr>
    </w:p>
    <w:p w:rsidR="00277A91" w:rsidRDefault="004C4093" w:rsidP="00277A91">
      <w:pPr>
        <w:spacing w:after="120"/>
        <w:rPr>
          <w:lang w:val="ro-RO"/>
        </w:rPr>
      </w:pPr>
      <w:r w:rsidRPr="00200430">
        <w:rPr>
          <w:lang w:val="ro-RO"/>
        </w:rPr>
        <w:t xml:space="preserve">Conform planului de activitate pentru anul 2016 a </w:t>
      </w:r>
      <w:r w:rsidR="00850420" w:rsidRPr="00200430">
        <w:rPr>
          <w:lang w:val="ro-RO"/>
        </w:rPr>
        <w:t>Curții</w:t>
      </w:r>
      <w:r w:rsidRPr="00200430">
        <w:rPr>
          <w:lang w:val="ro-RO"/>
        </w:rPr>
        <w:t xml:space="preserve"> de Apel Cahul a fost efectuată analiza activității privind rezultatele efectuă</w:t>
      </w:r>
      <w:r w:rsidR="00895B4F" w:rsidRPr="00200430">
        <w:rPr>
          <w:lang w:val="ro-RO"/>
        </w:rPr>
        <w:t xml:space="preserve">rii </w:t>
      </w:r>
      <w:r w:rsidR="00850420" w:rsidRPr="00200430">
        <w:rPr>
          <w:lang w:val="ro-RO"/>
        </w:rPr>
        <w:t>justiției</w:t>
      </w:r>
      <w:r w:rsidR="00895B4F" w:rsidRPr="00200430">
        <w:rPr>
          <w:lang w:val="ro-RO"/>
        </w:rPr>
        <w:t xml:space="preserve"> pe cauzele penale, </w:t>
      </w:r>
      <w:r w:rsidRPr="00200430">
        <w:rPr>
          <w:lang w:val="ro-RO"/>
        </w:rPr>
        <w:t>civile</w:t>
      </w:r>
      <w:r w:rsidR="00895B4F" w:rsidRPr="00200430">
        <w:rPr>
          <w:lang w:val="ro-RO"/>
        </w:rPr>
        <w:t xml:space="preserve"> și contravenționale pe perioada </w:t>
      </w:r>
      <w:r w:rsidR="005F0920" w:rsidRPr="00200430">
        <w:rPr>
          <w:lang w:val="ro-RO"/>
        </w:rPr>
        <w:t>6</w:t>
      </w:r>
      <w:r w:rsidRPr="00200430">
        <w:rPr>
          <w:lang w:val="ro-RO"/>
        </w:rPr>
        <w:t xml:space="preserve"> luni a anului 2016.</w:t>
      </w:r>
    </w:p>
    <w:p w:rsidR="004C4093" w:rsidRPr="00200430" w:rsidRDefault="004C4093" w:rsidP="00277A91">
      <w:pPr>
        <w:spacing w:after="120"/>
        <w:rPr>
          <w:lang w:val="ro-RO"/>
        </w:rPr>
      </w:pPr>
      <w:r w:rsidRPr="00200430">
        <w:rPr>
          <w:lang w:val="ro-RO"/>
        </w:rPr>
        <w:t xml:space="preserve">Nota informativă dată cuprinde analiza datelor statistice cu privire la examinarea cauzelor penale, civile și economice în prima </w:t>
      </w:r>
      <w:r w:rsidR="00850420" w:rsidRPr="00200430">
        <w:rPr>
          <w:lang w:val="ro-RO"/>
        </w:rPr>
        <w:t>instanță</w:t>
      </w:r>
      <w:r w:rsidRPr="00200430">
        <w:rPr>
          <w:lang w:val="ro-RO"/>
        </w:rPr>
        <w:t xml:space="preserve">, în baza Legii contenciosului administrativ, în ordine de apel </w:t>
      </w:r>
      <w:r w:rsidR="00850420" w:rsidRPr="00200430">
        <w:rPr>
          <w:lang w:val="ro-RO"/>
        </w:rPr>
        <w:t>și</w:t>
      </w:r>
      <w:r w:rsidRPr="00200430">
        <w:rPr>
          <w:lang w:val="ro-RO"/>
        </w:rPr>
        <w:t xml:space="preserve"> recurs, examinarea recursurilor privind eliberarea sau refuzul de a elibera  mandatul de arest, precum </w:t>
      </w:r>
      <w:r w:rsidR="00850420" w:rsidRPr="00200430">
        <w:rPr>
          <w:lang w:val="ro-RO"/>
        </w:rPr>
        <w:t>și</w:t>
      </w:r>
      <w:r w:rsidRPr="00200430">
        <w:rPr>
          <w:lang w:val="ro-RO"/>
        </w:rPr>
        <w:t xml:space="preserve"> prelungirea termenului de </w:t>
      </w:r>
      <w:r w:rsidR="00850420" w:rsidRPr="00200430">
        <w:rPr>
          <w:lang w:val="ro-RO"/>
        </w:rPr>
        <w:t>ținere</w:t>
      </w:r>
      <w:r w:rsidRPr="00200430">
        <w:rPr>
          <w:lang w:val="ro-RO"/>
        </w:rPr>
        <w:t xml:space="preserve"> sub arest, examinarea în ordine de recurs ordinar </w:t>
      </w:r>
      <w:r w:rsidR="00850420" w:rsidRPr="00200430">
        <w:rPr>
          <w:lang w:val="ro-RO"/>
        </w:rPr>
        <w:t>și</w:t>
      </w:r>
      <w:r w:rsidRPr="00200430">
        <w:rPr>
          <w:lang w:val="ro-RO"/>
        </w:rPr>
        <w:t xml:space="preserve"> recurs extraordinar a materialelor </w:t>
      </w:r>
      <w:r w:rsidR="00850420" w:rsidRPr="00200430">
        <w:rPr>
          <w:lang w:val="ro-RO"/>
        </w:rPr>
        <w:t>contravenționale</w:t>
      </w:r>
      <w:r w:rsidRPr="00200430">
        <w:rPr>
          <w:lang w:val="ro-RO"/>
        </w:rPr>
        <w:t>.</w:t>
      </w:r>
    </w:p>
    <w:p w:rsidR="00277A91" w:rsidRDefault="004C4093" w:rsidP="00277A91">
      <w:pPr>
        <w:pStyle w:val="ac"/>
        <w:numPr>
          <w:ilvl w:val="0"/>
          <w:numId w:val="34"/>
        </w:numPr>
        <w:tabs>
          <w:tab w:val="left" w:pos="142"/>
          <w:tab w:val="left" w:pos="1080"/>
        </w:tabs>
        <w:ind w:right="-1"/>
        <w:jc w:val="center"/>
        <w:rPr>
          <w:rFonts w:ascii="Times New Roman" w:hAnsi="Times New Roman"/>
          <w:b/>
          <w:color w:val="000000" w:themeColor="text1"/>
          <w:szCs w:val="24"/>
          <w:lang w:val="ro-RO"/>
        </w:rPr>
      </w:pPr>
      <w:r w:rsidRPr="00277A91">
        <w:rPr>
          <w:rFonts w:ascii="Times New Roman" w:hAnsi="Times New Roman"/>
          <w:b/>
          <w:color w:val="000000" w:themeColor="text1"/>
          <w:szCs w:val="24"/>
          <w:lang w:val="ro-RO"/>
        </w:rPr>
        <w:t xml:space="preserve">Activitatea Colegiilor la înfăptuirea </w:t>
      </w:r>
      <w:r w:rsidR="00850420" w:rsidRPr="00277A91">
        <w:rPr>
          <w:rFonts w:ascii="Times New Roman" w:hAnsi="Times New Roman"/>
          <w:b/>
          <w:color w:val="000000" w:themeColor="text1"/>
          <w:szCs w:val="24"/>
          <w:lang w:val="ro-RO"/>
        </w:rPr>
        <w:t>justiției</w:t>
      </w:r>
    </w:p>
    <w:p w:rsidR="00277A91" w:rsidRPr="00277A91" w:rsidRDefault="00277A91" w:rsidP="00277A91">
      <w:pPr>
        <w:tabs>
          <w:tab w:val="left" w:pos="142"/>
          <w:tab w:val="left" w:pos="1080"/>
        </w:tabs>
        <w:ind w:left="567" w:right="-1" w:firstLine="0"/>
        <w:rPr>
          <w:b/>
          <w:color w:val="000000" w:themeColor="text1"/>
          <w:sz w:val="10"/>
          <w:szCs w:val="24"/>
          <w:lang w:val="ro-RO"/>
        </w:rPr>
      </w:pPr>
    </w:p>
    <w:p w:rsidR="00277A91" w:rsidRPr="00277A91" w:rsidRDefault="005F0920" w:rsidP="00277A91">
      <w:pPr>
        <w:tabs>
          <w:tab w:val="left" w:pos="142"/>
          <w:tab w:val="left" w:pos="1080"/>
        </w:tabs>
        <w:ind w:left="567" w:right="-1" w:firstLine="0"/>
        <w:rPr>
          <w:b/>
          <w:lang w:val="ro-RO"/>
        </w:rPr>
      </w:pPr>
      <w:r w:rsidRPr="00277A91">
        <w:rPr>
          <w:lang w:val="ro-RO"/>
        </w:rPr>
        <w:t>În perioada 6</w:t>
      </w:r>
      <w:r w:rsidR="004C4093" w:rsidRPr="00277A91">
        <w:rPr>
          <w:lang w:val="ro-RO"/>
        </w:rPr>
        <w:t xml:space="preserve"> luni 2016 la Curtea de Ape</w:t>
      </w:r>
      <w:r w:rsidR="00BD4424" w:rsidRPr="00277A91">
        <w:rPr>
          <w:lang w:val="ro-RO"/>
        </w:rPr>
        <w:t xml:space="preserve">l Cahul s-au aflat în procedură în total </w:t>
      </w:r>
      <w:r w:rsidR="00BD4424" w:rsidRPr="00277A91">
        <w:rPr>
          <w:b/>
          <w:lang w:val="ro-RO"/>
        </w:rPr>
        <w:t>1111 cauze.</w:t>
      </w:r>
    </w:p>
    <w:p w:rsidR="004C4093" w:rsidRPr="00277A91" w:rsidRDefault="00005C4E" w:rsidP="00277A91">
      <w:pPr>
        <w:rPr>
          <w:color w:val="000000" w:themeColor="text1"/>
          <w:szCs w:val="24"/>
          <w:lang w:val="ro-RO"/>
        </w:rPr>
      </w:pPr>
      <w:r>
        <w:rPr>
          <w:b/>
          <w:lang w:val="ro-RO"/>
        </w:rPr>
        <w:t>362</w:t>
      </w:r>
      <w:r w:rsidR="004C4093" w:rsidRPr="00200430">
        <w:rPr>
          <w:b/>
          <w:lang w:val="ro-RO"/>
        </w:rPr>
        <w:t xml:space="preserve"> cauze</w:t>
      </w:r>
      <w:r w:rsidR="004C4093" w:rsidRPr="00200430">
        <w:rPr>
          <w:lang w:val="ro-RO"/>
        </w:rPr>
        <w:t xml:space="preserve"> pendinte la începutul perioadei raportate,</w:t>
      </w:r>
      <w:r w:rsidR="0087702C">
        <w:rPr>
          <w:lang w:val="ro-RO"/>
        </w:rPr>
        <w:t xml:space="preserve"> </w:t>
      </w:r>
      <w:r>
        <w:rPr>
          <w:b/>
          <w:lang w:val="ro-RO"/>
        </w:rPr>
        <w:t>749</w:t>
      </w:r>
      <w:r w:rsidR="004C4093" w:rsidRPr="00200430">
        <w:rPr>
          <w:b/>
          <w:lang w:val="ro-RO"/>
        </w:rPr>
        <w:t xml:space="preserve"> cauze</w:t>
      </w:r>
      <w:r w:rsidR="004C4093" w:rsidRPr="00200430">
        <w:rPr>
          <w:lang w:val="ro-RO"/>
        </w:rPr>
        <w:t xml:space="preserve">  noi înregistrate</w:t>
      </w:r>
      <w:r w:rsidR="0087702C">
        <w:rPr>
          <w:lang w:val="ro-RO"/>
        </w:rPr>
        <w:t>.</w:t>
      </w:r>
    </w:p>
    <w:p w:rsidR="004C4093" w:rsidRPr="00200430" w:rsidRDefault="004C4093" w:rsidP="00277A91">
      <w:pPr>
        <w:rPr>
          <w:lang w:val="ro-RO"/>
        </w:rPr>
      </w:pPr>
      <w:r w:rsidRPr="00200430">
        <w:rPr>
          <w:lang w:val="ro-RO"/>
        </w:rPr>
        <w:t>Din totalul dosarelor aflate în procedură au fost  soluționate–</w:t>
      </w:r>
      <w:r w:rsidR="0087702C">
        <w:rPr>
          <w:b/>
          <w:lang w:val="ro-RO"/>
        </w:rPr>
        <w:t>752 dosare</w:t>
      </w:r>
      <w:r w:rsidR="0087702C" w:rsidRPr="00200430">
        <w:rPr>
          <w:lang w:val="ro-RO"/>
        </w:rPr>
        <w:t xml:space="preserve">, </w:t>
      </w:r>
      <w:r w:rsidR="0087702C" w:rsidRPr="00200430">
        <w:rPr>
          <w:i/>
          <w:lang w:val="ro-RO"/>
        </w:rPr>
        <w:t xml:space="preserve">din </w:t>
      </w:r>
      <w:r w:rsidR="0087702C">
        <w:rPr>
          <w:i/>
          <w:lang w:val="ro-RO"/>
        </w:rPr>
        <w:t>care fără soluționare în fond 57 cauze, strămutate la CSJ -21</w:t>
      </w:r>
      <w:r w:rsidR="0087702C" w:rsidRPr="00200430">
        <w:rPr>
          <w:i/>
          <w:lang w:val="ro-RO"/>
        </w:rPr>
        <w:t xml:space="preserve"> cauze</w:t>
      </w:r>
    </w:p>
    <w:p w:rsidR="00005C4E" w:rsidRPr="00005C4E" w:rsidRDefault="004C4093" w:rsidP="00277A91">
      <w:pPr>
        <w:rPr>
          <w:b/>
          <w:lang w:val="ro-RO"/>
        </w:rPr>
      </w:pPr>
      <w:r w:rsidRPr="00200430">
        <w:rPr>
          <w:lang w:val="ro-RO"/>
        </w:rPr>
        <w:t>Numărul dosarelor pendinte la</w:t>
      </w:r>
      <w:r w:rsidR="00005C4E">
        <w:rPr>
          <w:lang w:val="ro-RO"/>
        </w:rPr>
        <w:t xml:space="preserve"> </w:t>
      </w:r>
      <w:r w:rsidRPr="00200430">
        <w:rPr>
          <w:lang w:val="ro-RO"/>
        </w:rPr>
        <w:t xml:space="preserve">sfîrșitul perioadei raportate constituie </w:t>
      </w:r>
      <w:r w:rsidR="00005C4E">
        <w:rPr>
          <w:b/>
          <w:lang w:val="ro-RO"/>
        </w:rPr>
        <w:t>359</w:t>
      </w:r>
      <w:r w:rsidRPr="00200430">
        <w:rPr>
          <w:b/>
          <w:lang w:val="ro-RO"/>
        </w:rPr>
        <w:t xml:space="preserve"> dosare.</w:t>
      </w:r>
    </w:p>
    <w:p w:rsidR="00277A91" w:rsidRDefault="004C4093" w:rsidP="00277A91">
      <w:pPr>
        <w:rPr>
          <w:b/>
          <w:lang w:val="ro-RO"/>
        </w:rPr>
      </w:pPr>
      <w:r w:rsidRPr="00200430">
        <w:rPr>
          <w:lang w:val="ro-RO"/>
        </w:rPr>
        <w:t xml:space="preserve">Rata de variație a stocului de cauze (raportul dintre cauzele noi înregistrate și cele pendinte la începutul perioadei raportate) constituie </w:t>
      </w:r>
      <w:r w:rsidR="002D45A1" w:rsidRPr="002D45A1">
        <w:rPr>
          <w:b/>
          <w:lang w:val="ro-RO"/>
        </w:rPr>
        <w:t>89,99%.</w:t>
      </w:r>
    </w:p>
    <w:p w:rsidR="00005C4E" w:rsidRPr="002D45A1" w:rsidRDefault="00005C4E" w:rsidP="00277A91">
      <w:pPr>
        <w:rPr>
          <w:lang w:val="ro-RO"/>
        </w:rPr>
      </w:pPr>
      <w:r w:rsidRPr="00005C4E">
        <w:rPr>
          <w:lang w:val="ro-RO"/>
        </w:rPr>
        <w:t xml:space="preserve">Durata stocului de cauze pendinte </w:t>
      </w:r>
      <w:r w:rsidR="002D45A1" w:rsidRPr="002D45A1">
        <w:rPr>
          <w:lang w:val="ro-RO"/>
        </w:rPr>
        <w:t xml:space="preserve">(numărul de zile a perioadei raportate împărțit la numărul de cauze soluționate împărțit la numărul cauzelor nesoluționate la sfîrșit, exprimat în zile) constituie </w:t>
      </w:r>
      <w:r w:rsidR="0087702C">
        <w:rPr>
          <w:b/>
          <w:lang w:val="ro-RO"/>
        </w:rPr>
        <w:t>8</w:t>
      </w:r>
      <w:r w:rsidR="002D45A1" w:rsidRPr="00296B6F">
        <w:rPr>
          <w:b/>
          <w:lang w:val="ro-RO"/>
        </w:rPr>
        <w:t>7 de zile.</w:t>
      </w:r>
    </w:p>
    <w:p w:rsidR="004C4093" w:rsidRPr="00200430" w:rsidRDefault="004C4093" w:rsidP="00277A91">
      <w:pPr>
        <w:rPr>
          <w:b/>
          <w:lang w:val="ro-RO"/>
        </w:rPr>
      </w:pPr>
      <w:r w:rsidRPr="00200430">
        <w:rPr>
          <w:lang w:val="ro-RO"/>
        </w:rPr>
        <w:t xml:space="preserve">Numărul de cauze examinate de un judecător în mediu </w:t>
      </w:r>
      <w:r w:rsidR="002D45A1" w:rsidRPr="006B2D0B">
        <w:rPr>
          <w:b/>
          <w:lang w:val="ro-RO"/>
        </w:rPr>
        <w:t>51</w:t>
      </w:r>
      <w:r w:rsidRPr="006B2D0B">
        <w:rPr>
          <w:b/>
          <w:lang w:val="ro-RO"/>
        </w:rPr>
        <w:t xml:space="preserve"> dosare.</w:t>
      </w:r>
    </w:p>
    <w:p w:rsidR="00895B4F" w:rsidRPr="00200430" w:rsidRDefault="00895B4F" w:rsidP="00277A91">
      <w:pPr>
        <w:rPr>
          <w:lang w:val="ro-RO"/>
        </w:rPr>
      </w:pPr>
    </w:p>
    <w:p w:rsidR="004C4093" w:rsidRPr="00200430" w:rsidRDefault="004C4093" w:rsidP="00277A91">
      <w:pPr>
        <w:rPr>
          <w:lang w:val="ro-RO"/>
        </w:rPr>
      </w:pPr>
      <w:r w:rsidRPr="00200430">
        <w:rPr>
          <w:lang w:val="ro-RO"/>
        </w:rPr>
        <w:t>În anul 2016 comparativ cu aceeași perioadă a anului 2015 numărul dosarelor pendinte la începutul per</w:t>
      </w:r>
      <w:r w:rsidR="00277A91">
        <w:rPr>
          <w:lang w:val="ro-RO"/>
        </w:rPr>
        <w:t xml:space="preserve">ioadei raportate a înregistrat </w:t>
      </w:r>
      <w:r w:rsidRPr="00200430">
        <w:rPr>
          <w:lang w:val="ro-RO"/>
        </w:rPr>
        <w:t>o creștere cu 6</w:t>
      </w:r>
      <w:r w:rsidR="002D45A1">
        <w:rPr>
          <w:lang w:val="ro-RO"/>
        </w:rPr>
        <w:t>7</w:t>
      </w:r>
      <w:r w:rsidRPr="00200430">
        <w:rPr>
          <w:lang w:val="ro-RO"/>
        </w:rPr>
        <w:t xml:space="preserve"> dosare.</w:t>
      </w:r>
    </w:p>
    <w:p w:rsidR="004C4093" w:rsidRPr="00200430" w:rsidRDefault="004C4093" w:rsidP="00277A91">
      <w:pPr>
        <w:rPr>
          <w:lang w:val="ro-RO"/>
        </w:rPr>
      </w:pPr>
      <w:r w:rsidRPr="00200430">
        <w:rPr>
          <w:lang w:val="ro-RO"/>
        </w:rPr>
        <w:t>Dosarele noi înregistrate dimpotrivă au înregistrat o scădere cu 1</w:t>
      </w:r>
      <w:r w:rsidR="002D45A1">
        <w:rPr>
          <w:lang w:val="ro-RO"/>
        </w:rPr>
        <w:t>32</w:t>
      </w:r>
      <w:r w:rsidRPr="00200430">
        <w:rPr>
          <w:lang w:val="ro-RO"/>
        </w:rPr>
        <w:t xml:space="preserve"> cauze. </w:t>
      </w:r>
    </w:p>
    <w:p w:rsidR="000E2B29" w:rsidRPr="00200430" w:rsidRDefault="004C4093" w:rsidP="00277A91">
      <w:pPr>
        <w:rPr>
          <w:lang w:val="ro-RO"/>
        </w:rPr>
      </w:pPr>
      <w:r w:rsidRPr="00200430">
        <w:rPr>
          <w:lang w:val="ro-RO"/>
        </w:rPr>
        <w:t>Cauze soluționate ne indică o</w:t>
      </w:r>
      <w:r w:rsidR="0087702C">
        <w:rPr>
          <w:lang w:val="ro-RO"/>
        </w:rPr>
        <w:t xml:space="preserve"> creștere</w:t>
      </w:r>
      <w:r w:rsidR="00277A91">
        <w:rPr>
          <w:lang w:val="ro-RO"/>
        </w:rPr>
        <w:t xml:space="preserve"> cu </w:t>
      </w:r>
      <w:r w:rsidR="0087702C">
        <w:rPr>
          <w:lang w:val="ro-RO"/>
        </w:rPr>
        <w:t>27</w:t>
      </w:r>
      <w:r w:rsidRPr="00200430">
        <w:rPr>
          <w:lang w:val="ro-RO"/>
        </w:rPr>
        <w:t xml:space="preserve"> d</w:t>
      </w:r>
      <w:r w:rsidR="00277A91">
        <w:rPr>
          <w:lang w:val="ro-RO"/>
        </w:rPr>
        <w:t>osare, iar</w:t>
      </w:r>
      <w:r w:rsidRPr="00200430">
        <w:rPr>
          <w:lang w:val="ro-RO"/>
        </w:rPr>
        <w:t xml:space="preserve"> cele pendinte o scădere cu </w:t>
      </w:r>
      <w:r w:rsidR="002D45A1">
        <w:rPr>
          <w:lang w:val="ro-RO"/>
        </w:rPr>
        <w:t>92</w:t>
      </w:r>
      <w:r w:rsidRPr="00200430">
        <w:rPr>
          <w:lang w:val="ro-RO"/>
        </w:rPr>
        <w:t xml:space="preserve"> dosare. </w:t>
      </w:r>
    </w:p>
    <w:p w:rsidR="004C4093" w:rsidRDefault="00277A91" w:rsidP="00C51D34">
      <w:pPr>
        <w:pStyle w:val="a5"/>
        <w:ind w:firstLine="720"/>
        <w:jc w:val="center"/>
        <w:rPr>
          <w:rFonts w:ascii="Times New Roman" w:hAnsi="Times New Roman"/>
          <w:i/>
          <w:color w:val="000000" w:themeColor="text1"/>
          <w:sz w:val="24"/>
          <w:szCs w:val="24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658752" behindDoc="0" locked="0" layoutInCell="1" allowOverlap="1" wp14:anchorId="34EB4B46" wp14:editId="41B39286">
            <wp:simplePos x="0" y="0"/>
            <wp:positionH relativeFrom="column">
              <wp:posOffset>489585</wp:posOffset>
            </wp:positionH>
            <wp:positionV relativeFrom="paragraph">
              <wp:posOffset>244475</wp:posOffset>
            </wp:positionV>
            <wp:extent cx="5524500" cy="2209800"/>
            <wp:effectExtent l="0" t="0" r="0" b="0"/>
            <wp:wrapSquare wrapText="bothSides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  <w:r w:rsidR="004C4093" w:rsidRPr="00200430">
        <w:rPr>
          <w:rFonts w:ascii="Times New Roman" w:hAnsi="Times New Roman"/>
          <w:i/>
          <w:color w:val="000000" w:themeColor="text1"/>
          <w:sz w:val="24"/>
          <w:szCs w:val="24"/>
          <w:lang w:val="ro-RO"/>
        </w:rPr>
        <w:t>Analiza activității comparative în diagramă</w:t>
      </w:r>
    </w:p>
    <w:p w:rsidR="002D45A1" w:rsidRPr="002D45A1" w:rsidRDefault="002D45A1" w:rsidP="002D45A1">
      <w:pPr>
        <w:pStyle w:val="a5"/>
        <w:ind w:firstLine="720"/>
        <w:rPr>
          <w:rFonts w:ascii="Times New Roman" w:hAnsi="Times New Roman"/>
          <w:color w:val="000000" w:themeColor="text1"/>
          <w:sz w:val="24"/>
          <w:szCs w:val="24"/>
          <w:lang w:val="ro-RO"/>
        </w:rPr>
        <w:sectPr w:rsidR="002D45A1" w:rsidRPr="002D45A1" w:rsidSect="004C4093">
          <w:pgSz w:w="11906" w:h="16838"/>
          <w:pgMar w:top="851" w:right="851" w:bottom="1134" w:left="1134" w:header="708" w:footer="708" w:gutter="0"/>
          <w:cols w:space="708"/>
          <w:docGrid w:linePitch="360"/>
        </w:sectPr>
      </w:pPr>
    </w:p>
    <w:p w:rsidR="00C303B4" w:rsidRPr="00704F0D" w:rsidRDefault="00C303B4" w:rsidP="00277A91">
      <w:pPr>
        <w:rPr>
          <w:lang w:val="ro-RO"/>
        </w:rPr>
      </w:pPr>
      <w:r w:rsidRPr="00331B5B">
        <w:rPr>
          <w:lang w:val="ro-RO"/>
        </w:rPr>
        <w:lastRenderedPageBreak/>
        <w:t xml:space="preserve">Referitor la activitatea judecătorilor Curții de Apel Cahul privind examinarea cauzelor penale situația este următoarea din numărul total de dosare penale </w:t>
      </w:r>
      <w:r w:rsidR="000E2B29" w:rsidRPr="00331B5B">
        <w:rPr>
          <w:lang w:val="ro-RO"/>
        </w:rPr>
        <w:t>examinate</w:t>
      </w:r>
      <w:r w:rsidRPr="00331B5B">
        <w:rPr>
          <w:lang w:val="ro-RO"/>
        </w:rPr>
        <w:t xml:space="preserve"> </w:t>
      </w:r>
      <w:r w:rsidR="00AE47BC" w:rsidRPr="00331B5B">
        <w:rPr>
          <w:b/>
          <w:lang w:val="ro-RO"/>
        </w:rPr>
        <w:t>261</w:t>
      </w:r>
      <w:r w:rsidRPr="00331B5B">
        <w:rPr>
          <w:lang w:val="ro-RO"/>
        </w:rPr>
        <w:t xml:space="preserve"> dosare</w:t>
      </w:r>
      <w:r w:rsidR="00331B5B">
        <w:rPr>
          <w:lang w:val="ro-RO"/>
        </w:rPr>
        <w:t>,</w:t>
      </w:r>
      <w:r w:rsidRPr="00331B5B">
        <w:rPr>
          <w:lang w:val="ro-RO"/>
        </w:rPr>
        <w:t xml:space="preserve"> la </w:t>
      </w:r>
      <w:r w:rsidR="000E2B29" w:rsidRPr="00331B5B">
        <w:rPr>
          <w:lang w:val="ro-RO"/>
        </w:rPr>
        <w:t xml:space="preserve"> Curtea Supremă de Justiție</w:t>
      </w:r>
      <w:r w:rsidR="000E2B29" w:rsidRPr="00331B5B">
        <w:rPr>
          <w:b/>
          <w:lang w:val="ro-RO"/>
        </w:rPr>
        <w:t xml:space="preserve"> </w:t>
      </w:r>
      <w:r w:rsidRPr="00331B5B">
        <w:rPr>
          <w:lang w:val="ro-RO"/>
        </w:rPr>
        <w:t>au fost atacate cu recurs</w:t>
      </w:r>
      <w:r w:rsidRPr="00331B5B">
        <w:rPr>
          <w:b/>
          <w:lang w:val="ro-RO"/>
        </w:rPr>
        <w:t xml:space="preserve"> </w:t>
      </w:r>
      <w:r w:rsidR="00200430" w:rsidRPr="00331B5B">
        <w:rPr>
          <w:b/>
          <w:lang w:val="ro-RO"/>
        </w:rPr>
        <w:t xml:space="preserve">42 </w:t>
      </w:r>
      <w:r w:rsidR="000E2B29" w:rsidRPr="00331B5B">
        <w:rPr>
          <w:b/>
          <w:lang w:val="ro-RO"/>
        </w:rPr>
        <w:t>cauze</w:t>
      </w:r>
      <w:r w:rsidR="000E2B29" w:rsidRPr="00331B5B">
        <w:rPr>
          <w:lang w:val="ro-RO"/>
        </w:rPr>
        <w:t xml:space="preserve">, din acestea inadmisibile </w:t>
      </w:r>
      <w:r w:rsidR="00200430" w:rsidRPr="00331B5B">
        <w:rPr>
          <w:b/>
          <w:lang w:val="ro-RO"/>
        </w:rPr>
        <w:t xml:space="preserve">37 </w:t>
      </w:r>
      <w:r w:rsidR="000E2B29" w:rsidRPr="00331B5B">
        <w:rPr>
          <w:b/>
          <w:lang w:val="ro-RO"/>
        </w:rPr>
        <w:t>cauze</w:t>
      </w:r>
      <w:r w:rsidR="000E2B29" w:rsidRPr="00331B5B">
        <w:rPr>
          <w:lang w:val="ro-RO"/>
        </w:rPr>
        <w:t xml:space="preserve">, casate </w:t>
      </w:r>
      <w:r w:rsidR="00200430" w:rsidRPr="00331B5B">
        <w:rPr>
          <w:b/>
          <w:lang w:val="ro-RO"/>
        </w:rPr>
        <w:t xml:space="preserve">5 </w:t>
      </w:r>
      <w:r w:rsidR="000E2B29" w:rsidRPr="00331B5B">
        <w:rPr>
          <w:b/>
          <w:lang w:val="ro-RO"/>
        </w:rPr>
        <w:t>cauze</w:t>
      </w:r>
      <w:r w:rsidR="00EF4C11" w:rsidRPr="00331B5B">
        <w:rPr>
          <w:b/>
          <w:lang w:val="ro-RO"/>
        </w:rPr>
        <w:t xml:space="preserve">, </w:t>
      </w:r>
      <w:r w:rsidR="00EF4C11" w:rsidRPr="00331B5B">
        <w:rPr>
          <w:lang w:val="ro-RO"/>
        </w:rPr>
        <w:t>inclusiv hotărîri</w:t>
      </w:r>
      <w:r w:rsidR="00EF4C11" w:rsidRPr="00331B5B">
        <w:rPr>
          <w:b/>
          <w:lang w:val="ro-RO"/>
        </w:rPr>
        <w:t xml:space="preserve"> </w:t>
      </w:r>
      <w:r w:rsidR="00EF4C11" w:rsidRPr="00331B5B">
        <w:rPr>
          <w:lang w:val="ro-RO"/>
        </w:rPr>
        <w:t xml:space="preserve">noi </w:t>
      </w:r>
      <w:r w:rsidR="00331B5B">
        <w:rPr>
          <w:b/>
          <w:lang w:val="ro-RO"/>
        </w:rPr>
        <w:t xml:space="preserve">- </w:t>
      </w:r>
      <w:r w:rsidR="00EF4C11" w:rsidRPr="00331B5B">
        <w:rPr>
          <w:b/>
          <w:lang w:val="ro-RO"/>
        </w:rPr>
        <w:t>1</w:t>
      </w:r>
      <w:r w:rsidR="00331B5B" w:rsidRPr="00331B5B">
        <w:rPr>
          <w:b/>
          <w:lang w:val="ro-RO"/>
        </w:rPr>
        <w:t xml:space="preserve"> cauză, </w:t>
      </w:r>
      <w:r w:rsidR="00331B5B" w:rsidRPr="00331B5B">
        <w:rPr>
          <w:lang w:val="ro-RO"/>
        </w:rPr>
        <w:t xml:space="preserve">hotărîri </w:t>
      </w:r>
      <w:r w:rsidR="00EF4C11" w:rsidRPr="00331B5B">
        <w:rPr>
          <w:lang w:val="ro-RO"/>
        </w:rPr>
        <w:t>emise pentru rejudecare</w:t>
      </w:r>
      <w:r w:rsidR="00EF4C11" w:rsidRPr="00331B5B">
        <w:rPr>
          <w:b/>
          <w:lang w:val="ro-RO"/>
        </w:rPr>
        <w:t>- 3</w:t>
      </w:r>
      <w:r w:rsidR="00331B5B" w:rsidRPr="00331B5B">
        <w:rPr>
          <w:b/>
          <w:lang w:val="ro-RO"/>
        </w:rPr>
        <w:t xml:space="preserve"> cauze</w:t>
      </w:r>
      <w:r w:rsidR="00EF4C11" w:rsidRPr="00331B5B">
        <w:rPr>
          <w:b/>
          <w:lang w:val="ro-RO"/>
        </w:rPr>
        <w:t xml:space="preserve">, </w:t>
      </w:r>
      <w:r w:rsidR="00EF4C11" w:rsidRPr="00331B5B">
        <w:rPr>
          <w:lang w:val="ro-RO"/>
        </w:rPr>
        <w:t xml:space="preserve">hotărîri I instanțe menținute </w:t>
      </w:r>
      <w:r w:rsidR="00EF4C11" w:rsidRPr="00331B5B">
        <w:rPr>
          <w:b/>
          <w:lang w:val="ro-RO"/>
        </w:rPr>
        <w:t>– 1 cauză.</w:t>
      </w:r>
      <w:r w:rsidR="008F4C11" w:rsidRPr="00331B5B">
        <w:rPr>
          <w:b/>
          <w:lang w:val="ro-RO"/>
        </w:rPr>
        <w:t xml:space="preserve"> </w:t>
      </w:r>
      <w:r w:rsidR="008F4C11" w:rsidRPr="00331B5B">
        <w:rPr>
          <w:lang w:val="ro-RO"/>
        </w:rPr>
        <w:t>T</w:t>
      </w:r>
      <w:r w:rsidR="00EF4C11" w:rsidRPr="00331B5B">
        <w:rPr>
          <w:lang w:val="ro-RO"/>
        </w:rPr>
        <w:t xml:space="preserve">abelul de mai jos indică calitatea </w:t>
      </w:r>
      <w:r w:rsidR="008F4C11" w:rsidRPr="00331B5B">
        <w:rPr>
          <w:lang w:val="ro-RO"/>
        </w:rPr>
        <w:t xml:space="preserve">activității </w:t>
      </w:r>
      <w:r w:rsidR="00EF4C11" w:rsidRPr="00331B5B">
        <w:rPr>
          <w:lang w:val="ro-RO"/>
        </w:rPr>
        <w:t xml:space="preserve"> jud</w:t>
      </w:r>
      <w:r w:rsidR="008F4C11" w:rsidRPr="00331B5B">
        <w:rPr>
          <w:lang w:val="ro-RO"/>
        </w:rPr>
        <w:t xml:space="preserve">ecătorilor Curții de Apel Cahul, privind examinarea cauzelor penale. ( Datele au fost selectate de pe </w:t>
      </w:r>
      <w:r w:rsidR="00331B5B">
        <w:rPr>
          <w:lang w:val="ro-RO"/>
        </w:rPr>
        <w:t>pagina</w:t>
      </w:r>
      <w:r w:rsidR="008F4C11" w:rsidRPr="00331B5B">
        <w:rPr>
          <w:lang w:val="ro-RO"/>
        </w:rPr>
        <w:t xml:space="preserve"> </w:t>
      </w:r>
      <w:r w:rsidR="00331B5B">
        <w:rPr>
          <w:lang w:val="ro-RO"/>
        </w:rPr>
        <w:t xml:space="preserve">web a </w:t>
      </w:r>
      <w:r w:rsidR="008F4C11" w:rsidRPr="00331B5B">
        <w:rPr>
          <w:lang w:val="ro-RO"/>
        </w:rPr>
        <w:t>Curții Supreme de Justiție)</w:t>
      </w:r>
    </w:p>
    <w:p w:rsidR="00331B5B" w:rsidRPr="00331B5B" w:rsidRDefault="00AE47BC" w:rsidP="00277A91">
      <w:pPr>
        <w:rPr>
          <w:lang w:val="ro-RO"/>
        </w:rPr>
      </w:pPr>
      <w:r w:rsidRPr="00331B5B">
        <w:rPr>
          <w:lang w:val="ro-RO"/>
        </w:rPr>
        <w:t xml:space="preserve">Referitor la activitatea judecătorilor Curții de Apel Cahul privind examinarea cauzelor civile situația este următoarea din numărul total de dosare civile examinate </w:t>
      </w:r>
      <w:r w:rsidRPr="00331B5B">
        <w:rPr>
          <w:b/>
          <w:lang w:val="ro-RO"/>
        </w:rPr>
        <w:t>291</w:t>
      </w:r>
      <w:r w:rsidR="00331B5B" w:rsidRPr="00331B5B">
        <w:rPr>
          <w:b/>
          <w:lang w:val="ro-RO"/>
        </w:rPr>
        <w:t>,</w:t>
      </w:r>
      <w:r w:rsidRPr="00331B5B">
        <w:rPr>
          <w:lang w:val="ro-RO"/>
        </w:rPr>
        <w:t xml:space="preserve"> </w:t>
      </w:r>
      <w:r w:rsidR="00200430" w:rsidRPr="00331B5B">
        <w:rPr>
          <w:lang w:val="ro-RO"/>
        </w:rPr>
        <w:t>la Curtea Supremă de Justiție</w:t>
      </w:r>
      <w:r w:rsidR="00200430" w:rsidRPr="00331B5B">
        <w:rPr>
          <w:b/>
          <w:lang w:val="ro-RO"/>
        </w:rPr>
        <w:t xml:space="preserve"> </w:t>
      </w:r>
      <w:r w:rsidR="00331B5B" w:rsidRPr="00331B5B">
        <w:rPr>
          <w:lang w:val="ro-RO"/>
        </w:rPr>
        <w:t>au fost atacate cu recurs</w:t>
      </w:r>
      <w:r w:rsidR="00331B5B" w:rsidRPr="00331B5B">
        <w:rPr>
          <w:b/>
          <w:lang w:val="ro-RO"/>
        </w:rPr>
        <w:t xml:space="preserve"> </w:t>
      </w:r>
      <w:r w:rsidR="00200430" w:rsidRPr="00331B5B">
        <w:rPr>
          <w:b/>
          <w:lang w:val="ro-RO"/>
        </w:rPr>
        <w:t>10</w:t>
      </w:r>
      <w:r w:rsidR="00C73B67" w:rsidRPr="00331B5B">
        <w:rPr>
          <w:b/>
          <w:lang w:val="ro-RO"/>
        </w:rPr>
        <w:t>7</w:t>
      </w:r>
      <w:r w:rsidR="00200430" w:rsidRPr="00331B5B">
        <w:rPr>
          <w:b/>
          <w:lang w:val="ro-RO"/>
        </w:rPr>
        <w:t xml:space="preserve"> cauze</w:t>
      </w:r>
      <w:r w:rsidR="00200430" w:rsidRPr="00331B5B">
        <w:rPr>
          <w:lang w:val="ro-RO"/>
        </w:rPr>
        <w:t xml:space="preserve">, din acestea respinse </w:t>
      </w:r>
      <w:r w:rsidR="00200430" w:rsidRPr="00331B5B">
        <w:rPr>
          <w:b/>
          <w:lang w:val="ro-RO"/>
        </w:rPr>
        <w:t>30 cauze</w:t>
      </w:r>
      <w:r w:rsidR="00200430" w:rsidRPr="00331B5B">
        <w:rPr>
          <w:lang w:val="ro-RO"/>
        </w:rPr>
        <w:t xml:space="preserve">, </w:t>
      </w:r>
      <w:r w:rsidR="00331B5B" w:rsidRPr="00331B5B">
        <w:rPr>
          <w:lang w:val="ro-RO"/>
        </w:rPr>
        <w:t xml:space="preserve">din acestea </w:t>
      </w:r>
      <w:r w:rsidR="00200430" w:rsidRPr="00331B5B">
        <w:rPr>
          <w:lang w:val="ro-RO"/>
        </w:rPr>
        <w:t xml:space="preserve">inadmisibile </w:t>
      </w:r>
      <w:r w:rsidR="00200430" w:rsidRPr="00331B5B">
        <w:rPr>
          <w:b/>
          <w:lang w:val="ro-RO"/>
        </w:rPr>
        <w:t>58 cauze</w:t>
      </w:r>
      <w:r w:rsidR="00200430" w:rsidRPr="00331B5B">
        <w:rPr>
          <w:lang w:val="ro-RO"/>
        </w:rPr>
        <w:t xml:space="preserve">, casate </w:t>
      </w:r>
      <w:r w:rsidR="00C73B67" w:rsidRPr="00331B5B">
        <w:rPr>
          <w:b/>
          <w:lang w:val="ro-RO"/>
        </w:rPr>
        <w:t>19</w:t>
      </w:r>
      <w:r w:rsidR="00331B5B">
        <w:rPr>
          <w:b/>
          <w:lang w:val="ro-RO"/>
        </w:rPr>
        <w:t xml:space="preserve"> cauze, </w:t>
      </w:r>
      <w:r w:rsidR="00331B5B" w:rsidRPr="00331B5B">
        <w:rPr>
          <w:lang w:val="ro-RO"/>
        </w:rPr>
        <w:t>inclusiv hotărîri</w:t>
      </w:r>
      <w:r w:rsidR="00331B5B" w:rsidRPr="00331B5B">
        <w:rPr>
          <w:b/>
          <w:lang w:val="ro-RO"/>
        </w:rPr>
        <w:t xml:space="preserve"> </w:t>
      </w:r>
      <w:r w:rsidR="00331B5B" w:rsidRPr="00331B5B">
        <w:rPr>
          <w:lang w:val="ro-RO"/>
        </w:rPr>
        <w:t xml:space="preserve">noi </w:t>
      </w:r>
      <w:r w:rsidR="00331B5B">
        <w:rPr>
          <w:b/>
          <w:lang w:val="ro-RO"/>
        </w:rPr>
        <w:t>- 4 cauze</w:t>
      </w:r>
      <w:r w:rsidR="00331B5B" w:rsidRPr="00331B5B">
        <w:rPr>
          <w:b/>
          <w:lang w:val="ro-RO"/>
        </w:rPr>
        <w:t xml:space="preserve">, </w:t>
      </w:r>
      <w:r w:rsidR="00331B5B" w:rsidRPr="00331B5B">
        <w:rPr>
          <w:lang w:val="ro-RO"/>
        </w:rPr>
        <w:t>hotărîri emise pentru rejudecare</w:t>
      </w:r>
      <w:r w:rsidR="00331B5B">
        <w:rPr>
          <w:b/>
          <w:lang w:val="ro-RO"/>
        </w:rPr>
        <w:t>- 10</w:t>
      </w:r>
      <w:r w:rsidR="00331B5B" w:rsidRPr="00331B5B">
        <w:rPr>
          <w:b/>
          <w:lang w:val="ro-RO"/>
        </w:rPr>
        <w:t xml:space="preserve"> cauze</w:t>
      </w:r>
      <w:r w:rsidR="00331B5B">
        <w:rPr>
          <w:b/>
          <w:lang w:val="ro-RO"/>
        </w:rPr>
        <w:t xml:space="preserve"> în apel</w:t>
      </w:r>
      <w:r w:rsidR="00331B5B" w:rsidRPr="00331B5B">
        <w:rPr>
          <w:b/>
          <w:lang w:val="ro-RO"/>
        </w:rPr>
        <w:t xml:space="preserve">, </w:t>
      </w:r>
      <w:r w:rsidR="00331B5B" w:rsidRPr="00331B5B">
        <w:rPr>
          <w:lang w:val="ro-RO"/>
        </w:rPr>
        <w:t xml:space="preserve">hotărîri I instanțe menținute </w:t>
      </w:r>
      <w:r w:rsidR="00331B5B">
        <w:rPr>
          <w:b/>
          <w:lang w:val="ro-RO"/>
        </w:rPr>
        <w:t>– 5 cauze</w:t>
      </w:r>
      <w:r w:rsidR="00331B5B" w:rsidRPr="00331B5B">
        <w:rPr>
          <w:b/>
          <w:lang w:val="ro-RO"/>
        </w:rPr>
        <w:t xml:space="preserve">. </w:t>
      </w:r>
      <w:r w:rsidR="00331B5B" w:rsidRPr="00331B5B">
        <w:rPr>
          <w:lang w:val="ro-RO"/>
        </w:rPr>
        <w:t>Tabelul de mai jos indică calitatea activității  judecătorilor Curții de Apel Cahul, pr</w:t>
      </w:r>
      <w:r w:rsidR="00331B5B">
        <w:rPr>
          <w:lang w:val="ro-RO"/>
        </w:rPr>
        <w:t>ivind examinarea cauzelor civile</w:t>
      </w:r>
      <w:r w:rsidR="00331B5B" w:rsidRPr="00331B5B">
        <w:rPr>
          <w:lang w:val="ro-RO"/>
        </w:rPr>
        <w:t xml:space="preserve">. ( Datele au fost selectate de pe </w:t>
      </w:r>
      <w:r w:rsidR="00331B5B">
        <w:rPr>
          <w:lang w:val="ro-RO"/>
        </w:rPr>
        <w:t>pagina</w:t>
      </w:r>
      <w:r w:rsidR="00331B5B" w:rsidRPr="00331B5B">
        <w:rPr>
          <w:lang w:val="ro-RO"/>
        </w:rPr>
        <w:t xml:space="preserve"> </w:t>
      </w:r>
      <w:r w:rsidR="00331B5B">
        <w:rPr>
          <w:lang w:val="ro-RO"/>
        </w:rPr>
        <w:t xml:space="preserve">web a </w:t>
      </w:r>
      <w:r w:rsidR="00331B5B" w:rsidRPr="00331B5B">
        <w:rPr>
          <w:lang w:val="ro-RO"/>
        </w:rPr>
        <w:t>Curții Supreme de Justiție)</w:t>
      </w:r>
    </w:p>
    <w:p w:rsidR="00895B4F" w:rsidRPr="00200430" w:rsidRDefault="00895B4F" w:rsidP="00277A91">
      <w:pPr>
        <w:pStyle w:val="a5"/>
        <w:numPr>
          <w:ilvl w:val="0"/>
          <w:numId w:val="34"/>
        </w:numPr>
        <w:tabs>
          <w:tab w:val="left" w:pos="142"/>
        </w:tabs>
        <w:ind w:right="-1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</w:pPr>
      <w:r w:rsidRPr="00200430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>Examinarea cauzelor penale de către Curtea de Apel Cahul</w:t>
      </w:r>
    </w:p>
    <w:p w:rsidR="00895B4F" w:rsidRPr="00200430" w:rsidRDefault="00895B4F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</w:pPr>
    </w:p>
    <w:p w:rsidR="00895B4F" w:rsidRPr="00200430" w:rsidRDefault="005F0920" w:rsidP="00277A91">
      <w:pPr>
        <w:rPr>
          <w:i/>
          <w:lang w:val="ro-RO"/>
        </w:rPr>
      </w:pPr>
      <w:r w:rsidRPr="00200430">
        <w:rPr>
          <w:lang w:val="ro-RO"/>
        </w:rPr>
        <w:t>Pe parcursul perioadei 6</w:t>
      </w:r>
      <w:r w:rsidR="00895B4F" w:rsidRPr="00200430">
        <w:rPr>
          <w:lang w:val="ro-RO"/>
        </w:rPr>
        <w:t xml:space="preserve"> luni a anului 2016 spre examinare la Curtea de Apel Cahul </w:t>
      </w:r>
      <w:r w:rsidR="00815C34" w:rsidRPr="00200430">
        <w:rPr>
          <w:lang w:val="ro-RO"/>
        </w:rPr>
        <w:t xml:space="preserve">s-au aflat în procedură </w:t>
      </w:r>
      <w:r w:rsidR="00895B4F" w:rsidRPr="00200430">
        <w:rPr>
          <w:lang w:val="ro-RO"/>
        </w:rPr>
        <w:t xml:space="preserve">în total </w:t>
      </w:r>
      <w:r w:rsidR="00255F4A">
        <w:rPr>
          <w:b/>
          <w:lang w:val="ro-RO"/>
        </w:rPr>
        <w:t>358</w:t>
      </w:r>
      <w:r w:rsidR="00895B4F" w:rsidRPr="00200430">
        <w:rPr>
          <w:b/>
          <w:lang w:val="ro-RO"/>
        </w:rPr>
        <w:t xml:space="preserve"> cauze</w:t>
      </w:r>
      <w:r w:rsidR="00895B4F" w:rsidRPr="00200430">
        <w:rPr>
          <w:lang w:val="ro-RO"/>
        </w:rPr>
        <w:t xml:space="preserve"> penale</w:t>
      </w:r>
      <w:r w:rsidR="00815C34" w:rsidRPr="00200430">
        <w:rPr>
          <w:lang w:val="ro-RO"/>
        </w:rPr>
        <w:t xml:space="preserve">, </w:t>
      </w:r>
      <w:r w:rsidR="00895B4F" w:rsidRPr="00200430">
        <w:rPr>
          <w:lang w:val="ro-RO"/>
        </w:rPr>
        <w:t xml:space="preserve">dintre care </w:t>
      </w:r>
      <w:r w:rsidR="00895B4F" w:rsidRPr="00200430">
        <w:rPr>
          <w:i/>
          <w:lang w:val="ro-RO"/>
        </w:rPr>
        <w:t xml:space="preserve">penale în I </w:t>
      </w:r>
      <w:r w:rsidR="00850420">
        <w:rPr>
          <w:i/>
          <w:lang w:val="ro-RO"/>
        </w:rPr>
        <w:t>instanță</w:t>
      </w:r>
      <w:r w:rsidR="00255F4A">
        <w:rPr>
          <w:i/>
          <w:lang w:val="ro-RO"/>
        </w:rPr>
        <w:t>- 0 , penale în apel -197, penale în recurs -16,  mandate la arest – 60, prezentări – 37, conflict de competență 11, plîngeri î/a acț. OUP –31</w:t>
      </w:r>
      <w:r w:rsidR="00895B4F" w:rsidRPr="00200430">
        <w:rPr>
          <w:i/>
          <w:lang w:val="ro-RO"/>
        </w:rPr>
        <w:t>, materiale privind acț. de UP efectuate cu autorizare</w:t>
      </w:r>
      <w:r w:rsidR="00255F4A">
        <w:rPr>
          <w:i/>
          <w:lang w:val="ro-RO"/>
        </w:rPr>
        <w:t xml:space="preserve">a judecătorului de </w:t>
      </w:r>
      <w:r w:rsidR="00850420">
        <w:rPr>
          <w:i/>
          <w:lang w:val="ro-RO"/>
        </w:rPr>
        <w:t>instrucție</w:t>
      </w:r>
      <w:r w:rsidR="00255F4A">
        <w:rPr>
          <w:i/>
          <w:lang w:val="ro-RO"/>
        </w:rPr>
        <w:t xml:space="preserve"> – 6</w:t>
      </w:r>
      <w:r w:rsidR="00895B4F" w:rsidRPr="00200430">
        <w:rPr>
          <w:i/>
          <w:lang w:val="ro-RO"/>
        </w:rPr>
        <w:t xml:space="preserve"> cauze, materiale privind ridicarea</w:t>
      </w:r>
      <w:r w:rsidR="00AD1EF7" w:rsidRPr="00200430">
        <w:rPr>
          <w:i/>
          <w:lang w:val="ro-RO"/>
        </w:rPr>
        <w:t xml:space="preserve"> p</w:t>
      </w:r>
      <w:r w:rsidR="00895B4F" w:rsidRPr="00200430">
        <w:rPr>
          <w:i/>
          <w:lang w:val="ro-RO"/>
        </w:rPr>
        <w:t>rovizorie a permisului de conducere-0</w:t>
      </w:r>
    </w:p>
    <w:p w:rsidR="00815C34" w:rsidRPr="00200430" w:rsidRDefault="00815C34" w:rsidP="00277A91">
      <w:pPr>
        <w:rPr>
          <w:lang w:val="ro-RO"/>
        </w:rPr>
      </w:pPr>
      <w:r w:rsidRPr="00200430">
        <w:rPr>
          <w:b/>
          <w:lang w:val="ro-RO"/>
        </w:rPr>
        <w:t>99 cauze</w:t>
      </w:r>
      <w:r w:rsidRPr="00200430">
        <w:rPr>
          <w:lang w:val="ro-RO"/>
        </w:rPr>
        <w:t xml:space="preserve"> pendinte la începutul perioadei raportate,</w:t>
      </w:r>
      <w:r w:rsidR="0087702C">
        <w:rPr>
          <w:lang w:val="ro-RO"/>
        </w:rPr>
        <w:t xml:space="preserve"> </w:t>
      </w:r>
      <w:r w:rsidR="00255F4A">
        <w:rPr>
          <w:b/>
          <w:lang w:val="ro-RO"/>
        </w:rPr>
        <w:t>259</w:t>
      </w:r>
      <w:r w:rsidRPr="00200430">
        <w:rPr>
          <w:b/>
          <w:lang w:val="ro-RO"/>
        </w:rPr>
        <w:t xml:space="preserve"> cauze</w:t>
      </w:r>
      <w:r w:rsidRPr="00200430">
        <w:rPr>
          <w:lang w:val="ro-RO"/>
        </w:rPr>
        <w:t xml:space="preserve">  noi înregistrate</w:t>
      </w:r>
      <w:r w:rsidR="0087702C">
        <w:rPr>
          <w:lang w:val="ro-RO"/>
        </w:rPr>
        <w:t>.</w:t>
      </w:r>
    </w:p>
    <w:p w:rsidR="00815C34" w:rsidRPr="00200430" w:rsidRDefault="00815C34" w:rsidP="00277A91">
      <w:pPr>
        <w:rPr>
          <w:lang w:val="ro-RO"/>
        </w:rPr>
      </w:pPr>
      <w:r w:rsidRPr="00200430">
        <w:rPr>
          <w:lang w:val="ro-RO"/>
        </w:rPr>
        <w:t>Din totalul dosarelor aflate în procedură au fost  soluționate–</w:t>
      </w:r>
      <w:r w:rsidR="00BD4424">
        <w:rPr>
          <w:b/>
          <w:lang w:val="ro-RO"/>
        </w:rPr>
        <w:t>26</w:t>
      </w:r>
      <w:r w:rsidR="0087702C">
        <w:rPr>
          <w:b/>
          <w:lang w:val="ro-RO"/>
        </w:rPr>
        <w:t>6 dosare</w:t>
      </w:r>
      <w:r w:rsidR="0087702C" w:rsidRPr="00200430">
        <w:rPr>
          <w:lang w:val="ro-RO"/>
        </w:rPr>
        <w:t xml:space="preserve">, </w:t>
      </w:r>
      <w:r w:rsidR="0087702C" w:rsidRPr="00200430">
        <w:rPr>
          <w:i/>
          <w:lang w:val="ro-RO"/>
        </w:rPr>
        <w:t>din care fără soluționare în fo</w:t>
      </w:r>
      <w:r w:rsidR="0087702C">
        <w:rPr>
          <w:i/>
          <w:lang w:val="ro-RO"/>
        </w:rPr>
        <w:t>nd 3 cauze, strămutate la CSJ -2</w:t>
      </w:r>
      <w:r w:rsidR="0087702C" w:rsidRPr="00200430">
        <w:rPr>
          <w:i/>
          <w:lang w:val="ro-RO"/>
        </w:rPr>
        <w:t xml:space="preserve"> cauze</w:t>
      </w:r>
    </w:p>
    <w:p w:rsidR="00815C34" w:rsidRPr="00200430" w:rsidRDefault="00815C34" w:rsidP="00277A91">
      <w:pPr>
        <w:rPr>
          <w:color w:val="000000" w:themeColor="text1"/>
          <w:szCs w:val="24"/>
          <w:lang w:val="ro-RO"/>
        </w:rPr>
      </w:pPr>
      <w:r w:rsidRPr="00200430">
        <w:rPr>
          <w:color w:val="000000" w:themeColor="text1"/>
          <w:szCs w:val="24"/>
          <w:lang w:val="ro-RO"/>
        </w:rPr>
        <w:t xml:space="preserve">Numărul dosarelor pendinte la sfîrșitul perioadei raportate constituie </w:t>
      </w:r>
      <w:r w:rsidR="00BD4424">
        <w:rPr>
          <w:b/>
          <w:color w:val="000000" w:themeColor="text1"/>
          <w:szCs w:val="24"/>
          <w:lang w:val="ro-RO"/>
        </w:rPr>
        <w:t>92</w:t>
      </w:r>
      <w:r w:rsidRPr="00200430">
        <w:rPr>
          <w:b/>
          <w:color w:val="000000" w:themeColor="text1"/>
          <w:szCs w:val="24"/>
          <w:lang w:val="ro-RO"/>
        </w:rPr>
        <w:t xml:space="preserve"> dosare.</w:t>
      </w:r>
    </w:p>
    <w:p w:rsidR="00815C34" w:rsidRPr="00200430" w:rsidRDefault="00815C34" w:rsidP="00277A91">
      <w:pPr>
        <w:rPr>
          <w:color w:val="000000" w:themeColor="text1"/>
          <w:szCs w:val="24"/>
          <w:lang w:val="ro-RO"/>
        </w:rPr>
      </w:pPr>
      <w:r w:rsidRPr="00200430">
        <w:rPr>
          <w:color w:val="000000" w:themeColor="text1"/>
          <w:szCs w:val="24"/>
          <w:lang w:val="ro-RO"/>
        </w:rPr>
        <w:t xml:space="preserve">Rata de variație a stocului de cauze (raportul dintre cauzele noi înregistrate și cele pendinte la începutul perioadei raportate) constituie </w:t>
      </w:r>
      <w:r w:rsidR="00BD4424" w:rsidRPr="00BD4424">
        <w:rPr>
          <w:b/>
          <w:color w:val="000000" w:themeColor="text1"/>
          <w:szCs w:val="24"/>
          <w:lang w:val="ro-RO"/>
        </w:rPr>
        <w:t>102,70%</w:t>
      </w:r>
      <w:r w:rsidR="00BD4424">
        <w:rPr>
          <w:b/>
          <w:color w:val="000000" w:themeColor="text1"/>
          <w:szCs w:val="24"/>
          <w:lang w:val="ro-RO"/>
        </w:rPr>
        <w:t>.</w:t>
      </w:r>
    </w:p>
    <w:p w:rsidR="00815C34" w:rsidRPr="00200430" w:rsidRDefault="00815C34" w:rsidP="00277A91">
      <w:pPr>
        <w:rPr>
          <w:b/>
          <w:color w:val="000000" w:themeColor="text1"/>
          <w:szCs w:val="24"/>
          <w:lang w:val="ro-RO"/>
        </w:rPr>
      </w:pPr>
      <w:r w:rsidRPr="00200430">
        <w:rPr>
          <w:color w:val="000000" w:themeColor="text1"/>
          <w:szCs w:val="24"/>
          <w:lang w:val="ro-RO"/>
        </w:rPr>
        <w:t xml:space="preserve">Numărul de cauze penale examinate de un judecător în mediu  constituie </w:t>
      </w:r>
      <w:r w:rsidR="006B2D0B" w:rsidRPr="006B2D0B">
        <w:rPr>
          <w:b/>
          <w:szCs w:val="24"/>
          <w:lang w:val="ro-RO"/>
        </w:rPr>
        <w:t>13</w:t>
      </w:r>
      <w:r w:rsidRPr="006B2D0B">
        <w:rPr>
          <w:b/>
          <w:szCs w:val="24"/>
          <w:lang w:val="ro-RO"/>
        </w:rPr>
        <w:t xml:space="preserve"> dosare.</w:t>
      </w:r>
    </w:p>
    <w:p w:rsidR="00895B4F" w:rsidRPr="00200430" w:rsidRDefault="00895B4F" w:rsidP="00277A91">
      <w:pPr>
        <w:rPr>
          <w:color w:val="000000" w:themeColor="text1"/>
          <w:szCs w:val="24"/>
          <w:lang w:val="ro-RO"/>
        </w:rPr>
      </w:pPr>
    </w:p>
    <w:p w:rsidR="00815C34" w:rsidRPr="00200430" w:rsidRDefault="00815C34" w:rsidP="00277A91">
      <w:pPr>
        <w:rPr>
          <w:color w:val="000000" w:themeColor="text1"/>
          <w:szCs w:val="24"/>
          <w:lang w:val="ro-RO"/>
        </w:rPr>
      </w:pPr>
      <w:r w:rsidRPr="00200430">
        <w:rPr>
          <w:color w:val="000000" w:themeColor="text1"/>
          <w:szCs w:val="24"/>
          <w:lang w:val="ro-RO"/>
        </w:rPr>
        <w:t xml:space="preserve">În anul 2016 numărul dosarelor pendinte la începutul perioadei raportate a fost </w:t>
      </w:r>
      <w:r w:rsidR="005F6BB0" w:rsidRPr="00200430">
        <w:rPr>
          <w:color w:val="000000" w:themeColor="text1"/>
          <w:szCs w:val="24"/>
          <w:lang w:val="ro-RO"/>
        </w:rPr>
        <w:t>la fel ca și în aceeași perioadă a anului 2015</w:t>
      </w:r>
    </w:p>
    <w:p w:rsidR="00815C34" w:rsidRPr="00200430" w:rsidRDefault="00815C34" w:rsidP="00277A91">
      <w:pPr>
        <w:rPr>
          <w:color w:val="000000" w:themeColor="text1"/>
          <w:szCs w:val="24"/>
          <w:lang w:val="ro-RO"/>
        </w:rPr>
      </w:pPr>
      <w:r w:rsidRPr="00200430">
        <w:rPr>
          <w:color w:val="000000" w:themeColor="text1"/>
          <w:szCs w:val="24"/>
          <w:lang w:val="ro-RO"/>
        </w:rPr>
        <w:t>Dosarele noi înregistrate au înregistrat o</w:t>
      </w:r>
      <w:r w:rsidR="00343A6D">
        <w:rPr>
          <w:color w:val="000000" w:themeColor="text1"/>
          <w:szCs w:val="24"/>
          <w:lang w:val="ro-RO"/>
        </w:rPr>
        <w:t xml:space="preserve"> </w:t>
      </w:r>
      <w:r w:rsidR="00850420">
        <w:rPr>
          <w:color w:val="000000" w:themeColor="text1"/>
          <w:szCs w:val="24"/>
          <w:lang w:val="ro-RO"/>
        </w:rPr>
        <w:t>creștere</w:t>
      </w:r>
      <w:r w:rsidRPr="00200430">
        <w:rPr>
          <w:color w:val="000000" w:themeColor="text1"/>
          <w:szCs w:val="24"/>
          <w:lang w:val="ro-RO"/>
        </w:rPr>
        <w:t xml:space="preserve"> cu </w:t>
      </w:r>
      <w:r w:rsidR="00343A6D">
        <w:rPr>
          <w:color w:val="000000" w:themeColor="text1"/>
          <w:szCs w:val="24"/>
          <w:lang w:val="ro-RO"/>
        </w:rPr>
        <w:t>27</w:t>
      </w:r>
      <w:r w:rsidRPr="00200430">
        <w:rPr>
          <w:color w:val="000000" w:themeColor="text1"/>
          <w:szCs w:val="24"/>
          <w:lang w:val="ro-RO"/>
        </w:rPr>
        <w:t xml:space="preserve"> cauze. </w:t>
      </w:r>
    </w:p>
    <w:p w:rsidR="00815C34" w:rsidRPr="00200430" w:rsidRDefault="00815C34" w:rsidP="00277A91">
      <w:pPr>
        <w:rPr>
          <w:bCs/>
          <w:color w:val="000000" w:themeColor="text1"/>
          <w:szCs w:val="28"/>
          <w:lang w:val="ro-RO"/>
        </w:rPr>
      </w:pPr>
      <w:r w:rsidRPr="00200430">
        <w:rPr>
          <w:color w:val="000000" w:themeColor="text1"/>
          <w:szCs w:val="24"/>
          <w:lang w:val="ro-RO"/>
        </w:rPr>
        <w:t xml:space="preserve">Cauze soluționate ne indică o creștere cu  </w:t>
      </w:r>
      <w:r w:rsidR="00343A6D">
        <w:rPr>
          <w:color w:val="000000" w:themeColor="text1"/>
          <w:szCs w:val="24"/>
          <w:lang w:val="ro-RO"/>
        </w:rPr>
        <w:t>44</w:t>
      </w:r>
      <w:r w:rsidRPr="00200430">
        <w:rPr>
          <w:color w:val="000000" w:themeColor="text1"/>
          <w:szCs w:val="24"/>
          <w:lang w:val="ro-RO"/>
        </w:rPr>
        <w:t xml:space="preserve"> dosare, iar  cele pendinte o scădere cu  </w:t>
      </w:r>
      <w:r w:rsidR="00343A6D">
        <w:rPr>
          <w:color w:val="000000" w:themeColor="text1"/>
          <w:szCs w:val="24"/>
          <w:lang w:val="ro-RO"/>
        </w:rPr>
        <w:t>17</w:t>
      </w:r>
      <w:r w:rsidRPr="00200430">
        <w:rPr>
          <w:color w:val="000000" w:themeColor="text1"/>
          <w:szCs w:val="24"/>
          <w:lang w:val="ro-RO"/>
        </w:rPr>
        <w:t xml:space="preserve"> dosare. </w:t>
      </w:r>
    </w:p>
    <w:p w:rsidR="00C51D34" w:rsidRPr="00200430" w:rsidRDefault="00C51D34" w:rsidP="00331CDE">
      <w:pPr>
        <w:pStyle w:val="a5"/>
        <w:ind w:firstLine="720"/>
        <w:jc w:val="center"/>
        <w:rPr>
          <w:rFonts w:ascii="Times New Roman" w:hAnsi="Times New Roman"/>
          <w:i/>
          <w:color w:val="000000" w:themeColor="text1"/>
          <w:sz w:val="24"/>
          <w:szCs w:val="24"/>
          <w:lang w:val="ro-RO"/>
        </w:rPr>
      </w:pPr>
    </w:p>
    <w:p w:rsidR="00753192" w:rsidRDefault="00753192" w:rsidP="00331CDE">
      <w:pPr>
        <w:pStyle w:val="a5"/>
        <w:ind w:firstLine="720"/>
        <w:jc w:val="center"/>
        <w:rPr>
          <w:rFonts w:ascii="Times New Roman" w:hAnsi="Times New Roman"/>
          <w:i/>
          <w:color w:val="000000" w:themeColor="text1"/>
          <w:sz w:val="24"/>
          <w:szCs w:val="24"/>
          <w:lang w:val="ro-RO"/>
        </w:rPr>
      </w:pPr>
      <w:r w:rsidRPr="00200430">
        <w:rPr>
          <w:rFonts w:ascii="Times New Roman" w:hAnsi="Times New Roman"/>
          <w:i/>
          <w:color w:val="000000" w:themeColor="text1"/>
          <w:sz w:val="24"/>
          <w:szCs w:val="24"/>
          <w:lang w:val="ro-RO"/>
        </w:rPr>
        <w:t>Analiza activității comparative în diagramă</w:t>
      </w:r>
    </w:p>
    <w:p w:rsidR="00373A48" w:rsidRDefault="00373A48" w:rsidP="00331CDE">
      <w:pPr>
        <w:pStyle w:val="a5"/>
        <w:ind w:firstLine="720"/>
        <w:jc w:val="center"/>
        <w:rPr>
          <w:rFonts w:ascii="Times New Roman" w:hAnsi="Times New Roman"/>
          <w:i/>
          <w:color w:val="000000" w:themeColor="text1"/>
          <w:sz w:val="24"/>
          <w:szCs w:val="24"/>
          <w:lang w:val="ro-RO"/>
        </w:rPr>
      </w:pPr>
    </w:p>
    <w:p w:rsidR="00343A6D" w:rsidRPr="00200430" w:rsidRDefault="00373A48" w:rsidP="00331CDE">
      <w:pPr>
        <w:pStyle w:val="a5"/>
        <w:ind w:firstLine="720"/>
        <w:jc w:val="center"/>
        <w:rPr>
          <w:rFonts w:ascii="Times New Roman" w:hAnsi="Times New Roman"/>
          <w:i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/>
          <w:i/>
          <w:noProof/>
          <w:color w:val="000000" w:themeColor="text1"/>
          <w:sz w:val="24"/>
          <w:szCs w:val="24"/>
          <w:lang w:val="ro-RO" w:eastAsia="ro-RO"/>
        </w:rPr>
        <w:drawing>
          <wp:inline distT="0" distB="0" distL="0" distR="0" wp14:anchorId="1F36B4DD">
            <wp:extent cx="4505325" cy="2729386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5517" cy="2735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95B4F" w:rsidRPr="00200430" w:rsidRDefault="00895B4F" w:rsidP="00277A91">
      <w:pPr>
        <w:pStyle w:val="a5"/>
        <w:numPr>
          <w:ilvl w:val="0"/>
          <w:numId w:val="34"/>
        </w:numPr>
        <w:tabs>
          <w:tab w:val="left" w:pos="142"/>
        </w:tabs>
        <w:ind w:right="-1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</w:pPr>
      <w:r w:rsidRPr="00200430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lastRenderedPageBreak/>
        <w:t>Examinarea cauzelor penale în ordine de apel</w:t>
      </w:r>
    </w:p>
    <w:p w:rsidR="00895B4F" w:rsidRPr="00200430" w:rsidRDefault="00895B4F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</w:pPr>
      <w:r w:rsidRPr="00200430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>(1a)</w:t>
      </w:r>
    </w:p>
    <w:p w:rsidR="00895B4F" w:rsidRPr="00200430" w:rsidRDefault="00895B4F" w:rsidP="00277A91">
      <w:pPr>
        <w:rPr>
          <w:lang w:val="ro-RO"/>
        </w:rPr>
      </w:pPr>
      <w:r w:rsidRPr="00200430">
        <w:rPr>
          <w:lang w:val="ro-RO"/>
        </w:rPr>
        <w:t>Conform art.400 CPP al R.</w:t>
      </w:r>
      <w:r w:rsidR="005F0920" w:rsidRPr="00200430">
        <w:rPr>
          <w:lang w:val="ro-RO"/>
        </w:rPr>
        <w:t xml:space="preserve"> </w:t>
      </w:r>
      <w:r w:rsidRPr="00200430">
        <w:rPr>
          <w:lang w:val="ro-RO"/>
        </w:rPr>
        <w:t xml:space="preserve">Moldova </w:t>
      </w:r>
      <w:r w:rsidR="00850420" w:rsidRPr="00200430">
        <w:rPr>
          <w:lang w:val="ro-RO"/>
        </w:rPr>
        <w:t>sentințele</w:t>
      </w:r>
      <w:r w:rsidRPr="00200430">
        <w:rPr>
          <w:lang w:val="ro-RO"/>
        </w:rPr>
        <w:t xml:space="preserve"> </w:t>
      </w:r>
      <w:r w:rsidR="00850420" w:rsidRPr="00200430">
        <w:rPr>
          <w:lang w:val="ro-RO"/>
        </w:rPr>
        <w:t>pronunțate</w:t>
      </w:r>
      <w:r w:rsidRPr="00200430">
        <w:rPr>
          <w:lang w:val="ro-RO"/>
        </w:rPr>
        <w:t xml:space="preserve"> de judecătoriile de fond pot fi atacate cu apel în Curtea de Apel.</w:t>
      </w:r>
    </w:p>
    <w:p w:rsidR="00753192" w:rsidRPr="00200430" w:rsidRDefault="005F0920" w:rsidP="00277A91">
      <w:pPr>
        <w:rPr>
          <w:lang w:val="ro-RO"/>
        </w:rPr>
      </w:pPr>
      <w:r w:rsidRPr="00200430">
        <w:rPr>
          <w:lang w:val="ro-RO"/>
        </w:rPr>
        <w:t>Pe parcursul perioadei 6</w:t>
      </w:r>
      <w:r w:rsidR="00753192" w:rsidRPr="00200430">
        <w:rPr>
          <w:lang w:val="ro-RO"/>
        </w:rPr>
        <w:t xml:space="preserve"> luni a anului 2016 spre examinare la Curtea de Apel C</w:t>
      </w:r>
      <w:r w:rsidR="00373A48">
        <w:rPr>
          <w:lang w:val="ro-RO"/>
        </w:rPr>
        <w:t xml:space="preserve">ahul s-au aflat în procedură </w:t>
      </w:r>
      <w:r w:rsidR="00373A48" w:rsidRPr="00373A48">
        <w:rPr>
          <w:b/>
          <w:lang w:val="ro-RO"/>
        </w:rPr>
        <w:t>197</w:t>
      </w:r>
      <w:r w:rsidR="00753192" w:rsidRPr="00200430">
        <w:rPr>
          <w:lang w:val="ro-RO"/>
        </w:rPr>
        <w:t xml:space="preserve"> </w:t>
      </w:r>
      <w:r w:rsidR="00373A48" w:rsidRPr="00373A48">
        <w:rPr>
          <w:b/>
          <w:lang w:val="ro-RO"/>
        </w:rPr>
        <w:t xml:space="preserve">cauze </w:t>
      </w:r>
      <w:r w:rsidR="00753192" w:rsidRPr="00200430">
        <w:rPr>
          <w:lang w:val="ro-RO"/>
        </w:rPr>
        <w:t>penale în ordine de apel:</w:t>
      </w:r>
    </w:p>
    <w:p w:rsidR="00753192" w:rsidRPr="00200430" w:rsidRDefault="00753192" w:rsidP="00277A91">
      <w:pPr>
        <w:rPr>
          <w:lang w:val="ro-RO"/>
        </w:rPr>
      </w:pPr>
      <w:r w:rsidRPr="00200430">
        <w:rPr>
          <w:b/>
          <w:lang w:val="ro-RO"/>
        </w:rPr>
        <w:t>77 cauze</w:t>
      </w:r>
      <w:r w:rsidRPr="00200430">
        <w:rPr>
          <w:lang w:val="ro-RO"/>
        </w:rPr>
        <w:t xml:space="preserve"> pendinte la începutul perioadei raportate,</w:t>
      </w:r>
      <w:r w:rsidR="00AB5D13">
        <w:rPr>
          <w:lang w:val="ro-RO"/>
        </w:rPr>
        <w:t xml:space="preserve"> </w:t>
      </w:r>
      <w:r w:rsidR="00373A48">
        <w:rPr>
          <w:b/>
          <w:lang w:val="ro-RO"/>
        </w:rPr>
        <w:t>120</w:t>
      </w:r>
      <w:r w:rsidRPr="00200430">
        <w:rPr>
          <w:b/>
          <w:lang w:val="ro-RO"/>
        </w:rPr>
        <w:t xml:space="preserve"> cauze</w:t>
      </w:r>
      <w:r w:rsidRPr="00200430">
        <w:rPr>
          <w:lang w:val="ro-RO"/>
        </w:rPr>
        <w:t xml:space="preserve">  noi înregistrate</w:t>
      </w:r>
      <w:r w:rsidR="00AB5D13">
        <w:rPr>
          <w:lang w:val="ro-RO"/>
        </w:rPr>
        <w:t>.</w:t>
      </w:r>
    </w:p>
    <w:p w:rsidR="00753192" w:rsidRPr="00200430" w:rsidRDefault="00753192" w:rsidP="00277A91">
      <w:pPr>
        <w:rPr>
          <w:lang w:val="ro-RO"/>
        </w:rPr>
      </w:pPr>
      <w:r w:rsidRPr="00200430">
        <w:rPr>
          <w:lang w:val="ro-RO"/>
        </w:rPr>
        <w:t>Din totalul dosarelor aflate în procedură au fost  soluționate–</w:t>
      </w:r>
      <w:r w:rsidR="00373A48">
        <w:rPr>
          <w:b/>
          <w:lang w:val="ro-RO"/>
        </w:rPr>
        <w:t>12</w:t>
      </w:r>
      <w:r w:rsidR="0087702C">
        <w:rPr>
          <w:b/>
          <w:lang w:val="ro-RO"/>
        </w:rPr>
        <w:t>9 dosare</w:t>
      </w:r>
      <w:r w:rsidR="0087702C" w:rsidRPr="00200430">
        <w:rPr>
          <w:lang w:val="ro-RO"/>
        </w:rPr>
        <w:t xml:space="preserve">, </w:t>
      </w:r>
      <w:r w:rsidR="0087702C" w:rsidRPr="00200430">
        <w:rPr>
          <w:i/>
          <w:lang w:val="ro-RO"/>
        </w:rPr>
        <w:t>din care fără soluționare în fo</w:t>
      </w:r>
      <w:r w:rsidR="0087702C">
        <w:rPr>
          <w:i/>
          <w:lang w:val="ro-RO"/>
        </w:rPr>
        <w:t>nd 1 cauză, strămutate la CSJ -2</w:t>
      </w:r>
      <w:r w:rsidR="0087702C" w:rsidRPr="00200430">
        <w:rPr>
          <w:i/>
          <w:lang w:val="ro-RO"/>
        </w:rPr>
        <w:t xml:space="preserve"> cauze</w:t>
      </w:r>
      <w:r w:rsidR="0087702C">
        <w:rPr>
          <w:i/>
          <w:lang w:val="ro-RO"/>
        </w:rPr>
        <w:t>.</w:t>
      </w:r>
    </w:p>
    <w:p w:rsidR="00753192" w:rsidRPr="00200430" w:rsidRDefault="00753192" w:rsidP="00277A91">
      <w:pPr>
        <w:rPr>
          <w:lang w:val="ro-RO"/>
        </w:rPr>
      </w:pPr>
      <w:r w:rsidRPr="00200430">
        <w:rPr>
          <w:lang w:val="ro-RO"/>
        </w:rPr>
        <w:t xml:space="preserve">Numărul dosarelor pendinte la sfîrșitul perioadei raportate constituie </w:t>
      </w:r>
      <w:r w:rsidR="00373A48">
        <w:rPr>
          <w:b/>
          <w:lang w:val="ro-RO"/>
        </w:rPr>
        <w:t>68</w:t>
      </w:r>
      <w:r w:rsidRPr="00200430">
        <w:rPr>
          <w:b/>
          <w:lang w:val="ro-RO"/>
        </w:rPr>
        <w:t xml:space="preserve"> dosare.</w:t>
      </w:r>
    </w:p>
    <w:p w:rsidR="00753192" w:rsidRPr="00200430" w:rsidRDefault="00753192" w:rsidP="00277A91">
      <w:pPr>
        <w:rPr>
          <w:lang w:val="ro-RO"/>
        </w:rPr>
      </w:pPr>
      <w:r w:rsidRPr="00200430">
        <w:rPr>
          <w:lang w:val="ro-RO"/>
        </w:rPr>
        <w:t xml:space="preserve">Rata de variație a stocului de cauze (raportul dintre cauzele noi înregistrate și cele pendinte la începutul perioadei raportate) constituie </w:t>
      </w:r>
      <w:r w:rsidR="00373A48" w:rsidRPr="00373A48">
        <w:rPr>
          <w:b/>
          <w:lang w:val="ro-RO"/>
        </w:rPr>
        <w:t>107,50%</w:t>
      </w:r>
      <w:r w:rsidR="00373A48">
        <w:rPr>
          <w:b/>
          <w:lang w:val="ro-RO"/>
        </w:rPr>
        <w:t>.</w:t>
      </w:r>
    </w:p>
    <w:p w:rsidR="00753192" w:rsidRPr="00200430" w:rsidRDefault="00753192" w:rsidP="00277A91">
      <w:pPr>
        <w:rPr>
          <w:b/>
          <w:lang w:val="ro-RO"/>
        </w:rPr>
      </w:pPr>
      <w:r w:rsidRPr="00200430">
        <w:rPr>
          <w:lang w:val="ro-RO"/>
        </w:rPr>
        <w:t xml:space="preserve">Numărul de cauze penale examinate de un judecător în mediu  </w:t>
      </w:r>
      <w:r w:rsidRPr="006B2D0B">
        <w:rPr>
          <w:lang w:val="ro-RO"/>
        </w:rPr>
        <w:t xml:space="preserve">constituie </w:t>
      </w:r>
      <w:r w:rsidR="006B2D0B" w:rsidRPr="006B2D0B">
        <w:rPr>
          <w:b/>
          <w:lang w:val="ro-RO"/>
        </w:rPr>
        <w:t>10</w:t>
      </w:r>
      <w:r w:rsidRPr="006B2D0B">
        <w:rPr>
          <w:b/>
          <w:lang w:val="ro-RO"/>
        </w:rPr>
        <w:t xml:space="preserve"> dosare.</w:t>
      </w:r>
    </w:p>
    <w:p w:rsidR="00753192" w:rsidRPr="00200430" w:rsidRDefault="00753192" w:rsidP="00277A91">
      <w:pPr>
        <w:rPr>
          <w:b/>
          <w:lang w:val="ro-RO"/>
        </w:rPr>
      </w:pPr>
    </w:p>
    <w:p w:rsidR="00753192" w:rsidRPr="00200430" w:rsidRDefault="00753192" w:rsidP="00277A91">
      <w:pPr>
        <w:rPr>
          <w:lang w:val="ro-RO"/>
        </w:rPr>
      </w:pPr>
      <w:r w:rsidRPr="00200430">
        <w:rPr>
          <w:lang w:val="ro-RO"/>
        </w:rPr>
        <w:t xml:space="preserve">În anul 2016 comparativ cu aceeași perioadă a anului 2015 numărul dosarelor pendinte la începutul perioadei raportate a înregistrat  o creștere cu </w:t>
      </w:r>
      <w:r w:rsidR="007764CB" w:rsidRPr="00200430">
        <w:rPr>
          <w:lang w:val="ro-RO"/>
        </w:rPr>
        <w:t>2</w:t>
      </w:r>
      <w:r w:rsidR="00DF72D4">
        <w:rPr>
          <w:lang w:val="ro-RO"/>
        </w:rPr>
        <w:t xml:space="preserve"> </w:t>
      </w:r>
      <w:r w:rsidR="00373A48">
        <w:rPr>
          <w:lang w:val="ro-RO"/>
        </w:rPr>
        <w:t>cauze</w:t>
      </w:r>
      <w:r w:rsidRPr="00200430">
        <w:rPr>
          <w:lang w:val="ro-RO"/>
        </w:rPr>
        <w:t>.</w:t>
      </w:r>
    </w:p>
    <w:p w:rsidR="00753192" w:rsidRDefault="00753192" w:rsidP="00277A91">
      <w:pPr>
        <w:rPr>
          <w:lang w:val="ro-RO"/>
        </w:rPr>
      </w:pPr>
      <w:r w:rsidRPr="00200430">
        <w:rPr>
          <w:lang w:val="ro-RO"/>
        </w:rPr>
        <w:t>Dosarele noi înregistrat</w:t>
      </w:r>
      <w:r w:rsidR="00373A48">
        <w:rPr>
          <w:lang w:val="ro-RO"/>
        </w:rPr>
        <w:t xml:space="preserve">e au înregistrat o creștere cu 19 </w:t>
      </w:r>
      <w:r w:rsidRPr="00200430">
        <w:rPr>
          <w:lang w:val="ro-RO"/>
        </w:rPr>
        <w:t xml:space="preserve">cauze. </w:t>
      </w:r>
    </w:p>
    <w:p w:rsidR="00EF4C11" w:rsidRPr="00200430" w:rsidRDefault="00EF4C11" w:rsidP="00277A91">
      <w:pPr>
        <w:rPr>
          <w:lang w:val="ro-RO"/>
        </w:rPr>
      </w:pPr>
      <w:r>
        <w:rPr>
          <w:lang w:val="ro-RO"/>
        </w:rPr>
        <w:t>Din cauzele casate nominal pe fiecare judecător situația este următoarea:</w:t>
      </w:r>
    </w:p>
    <w:p w:rsidR="00753192" w:rsidRPr="00200430" w:rsidRDefault="00753192" w:rsidP="00277A91">
      <w:pPr>
        <w:rPr>
          <w:lang w:val="ro-RO"/>
        </w:rPr>
      </w:pPr>
      <w:r w:rsidRPr="00200430">
        <w:rPr>
          <w:lang w:val="ro-RO"/>
        </w:rPr>
        <w:t xml:space="preserve">Cauze soluționate ne indică o creștere cu  </w:t>
      </w:r>
      <w:r w:rsidR="00373A48">
        <w:rPr>
          <w:lang w:val="ro-RO"/>
        </w:rPr>
        <w:t>33</w:t>
      </w:r>
      <w:r w:rsidRPr="00200430">
        <w:rPr>
          <w:lang w:val="ro-RO"/>
        </w:rPr>
        <w:t xml:space="preserve"> </w:t>
      </w:r>
      <w:r w:rsidR="00373A48">
        <w:rPr>
          <w:lang w:val="ro-RO"/>
        </w:rPr>
        <w:t>cauze</w:t>
      </w:r>
      <w:r w:rsidRPr="00200430">
        <w:rPr>
          <w:lang w:val="ro-RO"/>
        </w:rPr>
        <w:t xml:space="preserve"> </w:t>
      </w:r>
      <w:r w:rsidR="007764CB" w:rsidRPr="00200430">
        <w:rPr>
          <w:lang w:val="ro-RO"/>
        </w:rPr>
        <w:t>și</w:t>
      </w:r>
      <w:r w:rsidR="00373A48">
        <w:rPr>
          <w:lang w:val="ro-RO"/>
        </w:rPr>
        <w:t xml:space="preserve"> cele pendinte scădere</w:t>
      </w:r>
      <w:r w:rsidRPr="00200430">
        <w:rPr>
          <w:lang w:val="ro-RO"/>
        </w:rPr>
        <w:t xml:space="preserve"> cu  </w:t>
      </w:r>
      <w:r w:rsidR="00373A48">
        <w:rPr>
          <w:lang w:val="ro-RO"/>
        </w:rPr>
        <w:t>12 cauze</w:t>
      </w:r>
      <w:r w:rsidRPr="00200430">
        <w:rPr>
          <w:lang w:val="ro-RO"/>
        </w:rPr>
        <w:t xml:space="preserve">. </w:t>
      </w:r>
    </w:p>
    <w:p w:rsidR="003469EC" w:rsidRPr="00200430" w:rsidRDefault="003469EC" w:rsidP="00753192">
      <w:pPr>
        <w:pStyle w:val="a5"/>
        <w:ind w:firstLine="720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</w:p>
    <w:p w:rsidR="007764CB" w:rsidRDefault="00373A48" w:rsidP="00753192">
      <w:pPr>
        <w:pStyle w:val="a5"/>
        <w:ind w:firstLine="720"/>
        <w:rPr>
          <w:rFonts w:ascii="Times New Roman" w:hAnsi="Times New Roman"/>
          <w:bCs/>
          <w:color w:val="000000" w:themeColor="text1"/>
          <w:szCs w:val="28"/>
          <w:lang w:val="ro-RO"/>
        </w:rPr>
      </w:pPr>
      <w:r>
        <w:rPr>
          <w:noProof/>
          <w:lang w:val="ro-RO" w:eastAsia="ro-RO"/>
        </w:rPr>
        <w:drawing>
          <wp:inline distT="0" distB="0" distL="0" distR="0" wp14:anchorId="1208339D" wp14:editId="07A45EC8">
            <wp:extent cx="4963583" cy="3206750"/>
            <wp:effectExtent l="0" t="0" r="8890" b="1270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77A91" w:rsidRDefault="00277A91" w:rsidP="00895B4F">
      <w:pPr>
        <w:pStyle w:val="a5"/>
        <w:tabs>
          <w:tab w:val="left" w:pos="142"/>
        </w:tabs>
        <w:ind w:right="-1"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</w:pPr>
    </w:p>
    <w:p w:rsidR="00895B4F" w:rsidRDefault="00895B4F" w:rsidP="00850420">
      <w:pPr>
        <w:jc w:val="center"/>
        <w:rPr>
          <w:b/>
          <w:lang w:val="ro-RO"/>
        </w:rPr>
      </w:pPr>
      <w:r w:rsidRPr="00277A91">
        <w:rPr>
          <w:b/>
          <w:lang w:val="ro-RO"/>
        </w:rPr>
        <w:t xml:space="preserve">Datele statistice pe cauzele penale parvenite spre examinare în ordine de apel din judecătoriile din </w:t>
      </w:r>
      <w:r w:rsidR="00850420" w:rsidRPr="00277A91">
        <w:rPr>
          <w:b/>
          <w:lang w:val="ro-RO"/>
        </w:rPr>
        <w:t>circumscripția</w:t>
      </w:r>
      <w:r w:rsidRPr="00277A91">
        <w:rPr>
          <w:b/>
          <w:lang w:val="ro-RO"/>
        </w:rPr>
        <w:t xml:space="preserve"> </w:t>
      </w:r>
      <w:r w:rsidR="00850420" w:rsidRPr="00277A91">
        <w:rPr>
          <w:b/>
          <w:lang w:val="ro-RO"/>
        </w:rPr>
        <w:t>Curții</w:t>
      </w:r>
      <w:r w:rsidRPr="00277A91">
        <w:rPr>
          <w:b/>
          <w:lang w:val="ro-RO"/>
        </w:rPr>
        <w:t xml:space="preserve"> de Apel Cahul și alte instanțe</w:t>
      </w:r>
    </w:p>
    <w:p w:rsidR="00850420" w:rsidRDefault="00850420" w:rsidP="00277A91">
      <w:pPr>
        <w:rPr>
          <w:lang w:val="ro-RO"/>
        </w:rPr>
      </w:pPr>
    </w:p>
    <w:p w:rsidR="00895B4F" w:rsidRPr="00084148" w:rsidRDefault="00895B4F" w:rsidP="00277A91">
      <w:pPr>
        <w:rPr>
          <w:lang w:val="ro-RO"/>
        </w:rPr>
      </w:pPr>
      <w:r w:rsidRPr="00084148">
        <w:rPr>
          <w:lang w:val="ro-RO"/>
        </w:rPr>
        <w:t xml:space="preserve">Datele statistice pe </w:t>
      </w:r>
      <w:r w:rsidRPr="00084148">
        <w:rPr>
          <w:i/>
          <w:lang w:val="ro-RO"/>
        </w:rPr>
        <w:t>cauzele penale</w:t>
      </w:r>
      <w:r w:rsidRPr="00084148">
        <w:rPr>
          <w:lang w:val="ro-RO"/>
        </w:rPr>
        <w:t xml:space="preserve">  parvenite spre examinare </w:t>
      </w:r>
      <w:r w:rsidRPr="00084148">
        <w:rPr>
          <w:i/>
          <w:lang w:val="ro-RO"/>
        </w:rPr>
        <w:t>în ordine de apel</w:t>
      </w:r>
      <w:r w:rsidRPr="00084148">
        <w:rPr>
          <w:lang w:val="ro-RO"/>
        </w:rPr>
        <w:t xml:space="preserve"> din fiecare judecătorie din </w:t>
      </w:r>
      <w:r w:rsidR="00850420" w:rsidRPr="00084148">
        <w:rPr>
          <w:lang w:val="ro-RO"/>
        </w:rPr>
        <w:t>circumscripția</w:t>
      </w:r>
      <w:r w:rsidRPr="00084148">
        <w:rPr>
          <w:lang w:val="ro-RO"/>
        </w:rPr>
        <w:t xml:space="preserve"> </w:t>
      </w:r>
      <w:r w:rsidR="00850420" w:rsidRPr="00084148">
        <w:rPr>
          <w:lang w:val="ro-RO"/>
        </w:rPr>
        <w:t>Curții</w:t>
      </w:r>
      <w:r w:rsidRPr="00084148">
        <w:rPr>
          <w:lang w:val="ro-RO"/>
        </w:rPr>
        <w:t xml:space="preserve"> de Apel Cahul </w:t>
      </w:r>
      <w:r w:rsidR="00850420" w:rsidRPr="00084148">
        <w:rPr>
          <w:lang w:val="ro-RO"/>
        </w:rPr>
        <w:t>și</w:t>
      </w:r>
      <w:r w:rsidRPr="00084148">
        <w:rPr>
          <w:lang w:val="ro-RO"/>
        </w:rPr>
        <w:t xml:space="preserve"> alte instanțe, rezul</w:t>
      </w:r>
      <w:r w:rsidR="005F0920" w:rsidRPr="00084148">
        <w:rPr>
          <w:lang w:val="ro-RO"/>
        </w:rPr>
        <w:t>tatele examinării  în perioada 6</w:t>
      </w:r>
      <w:r w:rsidRPr="00084148">
        <w:rPr>
          <w:lang w:val="ro-RO"/>
        </w:rPr>
        <w:t xml:space="preserve"> luni a anului 2016 sânt următoarele:</w:t>
      </w:r>
    </w:p>
    <w:p w:rsidR="00895B4F" w:rsidRPr="00084148" w:rsidRDefault="00895B4F" w:rsidP="00895B4F">
      <w:pPr>
        <w:pStyle w:val="a5"/>
        <w:tabs>
          <w:tab w:val="left" w:pos="142"/>
        </w:tabs>
        <w:ind w:right="-1" w:firstLine="567"/>
        <w:jc w:val="both"/>
        <w:rPr>
          <w:rFonts w:ascii="Times New Roman" w:hAnsi="Times New Roman"/>
          <w:b/>
          <w:sz w:val="24"/>
          <w:szCs w:val="24"/>
          <w:u w:val="single"/>
          <w:lang w:val="ro-RO"/>
        </w:rPr>
      </w:pPr>
    </w:p>
    <w:p w:rsidR="00895B4F" w:rsidRPr="00084148" w:rsidRDefault="00895B4F" w:rsidP="00850420">
      <w:pPr>
        <w:rPr>
          <w:lang w:val="ro-RO"/>
        </w:rPr>
      </w:pPr>
      <w:r w:rsidRPr="00084148">
        <w:rPr>
          <w:b/>
          <w:u w:val="single"/>
          <w:lang w:val="ro-RO"/>
        </w:rPr>
        <w:t>Judecătoria Cahul</w:t>
      </w:r>
      <w:r w:rsidR="00277A91">
        <w:rPr>
          <w:lang w:val="ro-RO"/>
        </w:rPr>
        <w:t xml:space="preserve"> –</w:t>
      </w:r>
      <w:r w:rsidRPr="00084148">
        <w:rPr>
          <w:lang w:val="ro-RO"/>
        </w:rPr>
        <w:t xml:space="preserve">examinate – </w:t>
      </w:r>
      <w:r w:rsidR="00084148" w:rsidRPr="00084148">
        <w:rPr>
          <w:b/>
          <w:lang w:val="ro-RO"/>
        </w:rPr>
        <w:t>49</w:t>
      </w:r>
      <w:r w:rsidRPr="00084148">
        <w:rPr>
          <w:lang w:val="ro-RO"/>
        </w:rPr>
        <w:t xml:space="preserve"> cauze (Nr. persoane - </w:t>
      </w:r>
      <w:r w:rsidR="00084148" w:rsidRPr="00084148">
        <w:rPr>
          <w:b/>
          <w:lang w:val="ro-RO"/>
        </w:rPr>
        <w:t>56</w:t>
      </w:r>
      <w:r w:rsidRPr="00084148">
        <w:rPr>
          <w:lang w:val="ro-RO"/>
        </w:rPr>
        <w:t xml:space="preserve">), </w:t>
      </w:r>
      <w:r w:rsidR="00084148" w:rsidRPr="00084148">
        <w:rPr>
          <w:lang w:val="ro-RO"/>
        </w:rPr>
        <w:t xml:space="preserve">cu </w:t>
      </w:r>
      <w:r w:rsidR="00084148">
        <w:rPr>
          <w:lang w:val="ro-RO"/>
        </w:rPr>
        <w:t>7</w:t>
      </w:r>
      <w:r w:rsidR="00084148" w:rsidRPr="00084148">
        <w:rPr>
          <w:lang w:val="ro-RO"/>
        </w:rPr>
        <w:t xml:space="preserve"> cauze mai mult ca în aceeași perioadă a anului 2015</w:t>
      </w:r>
      <w:r w:rsidRPr="00084148">
        <w:rPr>
          <w:lang w:val="ro-RO"/>
        </w:rPr>
        <w:t xml:space="preserve">, din care : </w:t>
      </w:r>
    </w:p>
    <w:p w:rsidR="00895B4F" w:rsidRPr="00850420" w:rsidRDefault="00895B4F" w:rsidP="00850420">
      <w:pPr>
        <w:pStyle w:val="ac"/>
        <w:numPr>
          <w:ilvl w:val="0"/>
          <w:numId w:val="35"/>
        </w:numPr>
        <w:rPr>
          <w:rFonts w:ascii="Times New Roman" w:hAnsi="Times New Roman"/>
          <w:lang w:val="ro-RO"/>
        </w:rPr>
      </w:pPr>
      <w:r w:rsidRPr="00850420">
        <w:rPr>
          <w:rStyle w:val="ae"/>
        </w:rPr>
        <w:t>menținute</w:t>
      </w:r>
      <w:r w:rsidRPr="00850420">
        <w:rPr>
          <w:rFonts w:ascii="Times New Roman" w:hAnsi="Times New Roman"/>
          <w:lang w:val="ro-RO"/>
        </w:rPr>
        <w:t xml:space="preserve"> fără modificări – </w:t>
      </w:r>
      <w:r w:rsidR="00084148" w:rsidRPr="00850420">
        <w:rPr>
          <w:rFonts w:ascii="Times New Roman" w:hAnsi="Times New Roman"/>
          <w:b/>
          <w:lang w:val="ro-RO"/>
        </w:rPr>
        <w:t xml:space="preserve">20 </w:t>
      </w:r>
      <w:r w:rsidRPr="00850420">
        <w:rPr>
          <w:rFonts w:ascii="Times New Roman" w:hAnsi="Times New Roman"/>
          <w:lang w:val="ro-RO"/>
        </w:rPr>
        <w:t>(</w:t>
      </w:r>
      <w:r w:rsidR="00084148" w:rsidRPr="00850420">
        <w:rPr>
          <w:rFonts w:ascii="Times New Roman" w:hAnsi="Times New Roman"/>
          <w:lang w:val="ro-RO"/>
        </w:rPr>
        <w:t>40,82</w:t>
      </w:r>
      <w:r w:rsidRPr="00850420">
        <w:rPr>
          <w:rFonts w:ascii="Times New Roman" w:hAnsi="Times New Roman"/>
          <w:lang w:val="ro-RO"/>
        </w:rPr>
        <w:t xml:space="preserve">%), cu </w:t>
      </w:r>
      <w:r w:rsidR="00084148" w:rsidRPr="00850420">
        <w:rPr>
          <w:rFonts w:ascii="Times New Roman" w:hAnsi="Times New Roman"/>
          <w:lang w:val="ro-RO"/>
        </w:rPr>
        <w:t>1 cauză</w:t>
      </w:r>
      <w:r w:rsidRPr="00850420">
        <w:rPr>
          <w:rFonts w:ascii="Times New Roman" w:hAnsi="Times New Roman"/>
          <w:lang w:val="ro-RO"/>
        </w:rPr>
        <w:t xml:space="preserve"> mai mult ca în aceeași perioadă a anului 201</w:t>
      </w:r>
      <w:r w:rsidR="00141D87" w:rsidRPr="00850420">
        <w:rPr>
          <w:rFonts w:ascii="Times New Roman" w:hAnsi="Times New Roman"/>
          <w:lang w:val="ro-RO"/>
        </w:rPr>
        <w:t>5</w:t>
      </w:r>
      <w:r w:rsidRPr="00850420">
        <w:rPr>
          <w:rFonts w:ascii="Times New Roman" w:hAnsi="Times New Roman"/>
          <w:lang w:val="ro-RO"/>
        </w:rPr>
        <w:t>.</w:t>
      </w:r>
    </w:p>
    <w:p w:rsidR="00895B4F" w:rsidRPr="00850420" w:rsidRDefault="00895B4F" w:rsidP="00850420">
      <w:pPr>
        <w:pStyle w:val="a5"/>
        <w:numPr>
          <w:ilvl w:val="0"/>
          <w:numId w:val="35"/>
        </w:numPr>
        <w:rPr>
          <w:rStyle w:val="ae"/>
        </w:rPr>
      </w:pPr>
      <w:r w:rsidRPr="00850420">
        <w:rPr>
          <w:rStyle w:val="ae"/>
        </w:rPr>
        <w:lastRenderedPageBreak/>
        <w:t xml:space="preserve">casate cu </w:t>
      </w:r>
      <w:r w:rsidR="00850420" w:rsidRPr="00850420">
        <w:rPr>
          <w:rStyle w:val="ae"/>
        </w:rPr>
        <w:t>pronunțarea</w:t>
      </w:r>
      <w:r w:rsidRPr="00850420">
        <w:rPr>
          <w:rStyle w:val="ae"/>
        </w:rPr>
        <w:t xml:space="preserve"> unei noi </w:t>
      </w:r>
      <w:r w:rsidR="00850420" w:rsidRPr="00850420">
        <w:rPr>
          <w:rStyle w:val="ae"/>
        </w:rPr>
        <w:t>hotărâri</w:t>
      </w:r>
      <w:r w:rsidRPr="00850420">
        <w:rPr>
          <w:rStyle w:val="ae"/>
        </w:rPr>
        <w:t xml:space="preserve"> – </w:t>
      </w:r>
      <w:r w:rsidR="00084148" w:rsidRPr="00850420">
        <w:rPr>
          <w:rStyle w:val="ae"/>
          <w:b/>
        </w:rPr>
        <w:t>29</w:t>
      </w:r>
      <w:r w:rsidR="00084148" w:rsidRPr="00850420">
        <w:rPr>
          <w:rStyle w:val="ae"/>
        </w:rPr>
        <w:t xml:space="preserve"> </w:t>
      </w:r>
      <w:r w:rsidRPr="00850420">
        <w:rPr>
          <w:rStyle w:val="ae"/>
        </w:rPr>
        <w:t>(</w:t>
      </w:r>
      <w:r w:rsidR="00084148" w:rsidRPr="00850420">
        <w:rPr>
          <w:rStyle w:val="ae"/>
        </w:rPr>
        <w:t>59,18</w:t>
      </w:r>
      <w:r w:rsidRPr="00850420">
        <w:rPr>
          <w:rStyle w:val="ae"/>
        </w:rPr>
        <w:t xml:space="preserve">%), cu </w:t>
      </w:r>
      <w:r w:rsidR="00141D87" w:rsidRPr="00850420">
        <w:rPr>
          <w:rStyle w:val="ae"/>
        </w:rPr>
        <w:t>6</w:t>
      </w:r>
      <w:r w:rsidRPr="00850420">
        <w:rPr>
          <w:rStyle w:val="ae"/>
        </w:rPr>
        <w:t xml:space="preserve"> cauze mai </w:t>
      </w:r>
      <w:r w:rsidR="00084148" w:rsidRPr="00850420">
        <w:rPr>
          <w:rStyle w:val="ae"/>
        </w:rPr>
        <w:t xml:space="preserve">mult </w:t>
      </w:r>
      <w:r w:rsidRPr="00850420">
        <w:rPr>
          <w:rStyle w:val="ae"/>
        </w:rPr>
        <w:t>ca î</w:t>
      </w:r>
      <w:r w:rsidR="00141D87" w:rsidRPr="00850420">
        <w:rPr>
          <w:rStyle w:val="ae"/>
        </w:rPr>
        <w:t xml:space="preserve">n </w:t>
      </w:r>
      <w:r w:rsidR="00850420" w:rsidRPr="00850420">
        <w:rPr>
          <w:rStyle w:val="ae"/>
        </w:rPr>
        <w:t>aceeași</w:t>
      </w:r>
      <w:r w:rsidR="00141D87" w:rsidRPr="00850420">
        <w:rPr>
          <w:rStyle w:val="ae"/>
        </w:rPr>
        <w:t xml:space="preserve"> perioadă a anului 2015</w:t>
      </w:r>
      <w:r w:rsidRPr="00850420">
        <w:rPr>
          <w:rStyle w:val="ae"/>
        </w:rPr>
        <w:t xml:space="preserve">.  </w:t>
      </w:r>
    </w:p>
    <w:p w:rsidR="00895B4F" w:rsidRPr="00084148" w:rsidRDefault="00895B4F" w:rsidP="00895B4F">
      <w:pPr>
        <w:pStyle w:val="a5"/>
        <w:tabs>
          <w:tab w:val="left" w:pos="142"/>
        </w:tabs>
        <w:ind w:right="-1" w:firstLine="567"/>
        <w:jc w:val="both"/>
        <w:rPr>
          <w:rFonts w:ascii="Times New Roman" w:hAnsi="Times New Roman"/>
          <w:i/>
          <w:sz w:val="24"/>
          <w:szCs w:val="24"/>
          <w:lang w:val="ro-RO"/>
        </w:rPr>
      </w:pPr>
    </w:p>
    <w:p w:rsidR="00895B4F" w:rsidRPr="00084148" w:rsidRDefault="00895B4F" w:rsidP="00850420">
      <w:pPr>
        <w:rPr>
          <w:lang w:val="ro-RO"/>
        </w:rPr>
      </w:pPr>
      <w:r w:rsidRPr="00084148">
        <w:rPr>
          <w:b/>
          <w:u w:val="single"/>
          <w:lang w:val="ro-RO"/>
        </w:rPr>
        <w:t xml:space="preserve">Judecătoria Leova </w:t>
      </w:r>
      <w:r w:rsidRPr="00084148">
        <w:rPr>
          <w:lang w:val="ro-RO"/>
        </w:rPr>
        <w:t>– examinate –</w:t>
      </w:r>
      <w:r w:rsidR="00084148">
        <w:rPr>
          <w:b/>
          <w:lang w:val="ro-RO"/>
        </w:rPr>
        <w:t>16</w:t>
      </w:r>
      <w:r w:rsidRPr="00084148">
        <w:rPr>
          <w:lang w:val="ro-RO"/>
        </w:rPr>
        <w:t xml:space="preserve"> cauze (Nr. persoane - </w:t>
      </w:r>
      <w:r w:rsidR="00084148">
        <w:rPr>
          <w:b/>
          <w:lang w:val="ro-RO"/>
        </w:rPr>
        <w:t>20</w:t>
      </w:r>
      <w:r w:rsidRPr="00084148">
        <w:rPr>
          <w:lang w:val="ro-RO"/>
        </w:rPr>
        <w:t xml:space="preserve">), cu </w:t>
      </w:r>
      <w:r w:rsidR="00084148">
        <w:rPr>
          <w:lang w:val="ro-RO"/>
        </w:rPr>
        <w:t>9</w:t>
      </w:r>
      <w:r w:rsidRPr="00084148">
        <w:rPr>
          <w:lang w:val="ro-RO"/>
        </w:rPr>
        <w:t xml:space="preserve"> cauze mai mult ca în </w:t>
      </w:r>
      <w:r w:rsidR="00850420" w:rsidRPr="00084148">
        <w:rPr>
          <w:lang w:val="ro-RO"/>
        </w:rPr>
        <w:t>aceeași</w:t>
      </w:r>
      <w:r w:rsidRPr="00084148">
        <w:rPr>
          <w:lang w:val="ro-RO"/>
        </w:rPr>
        <w:t xml:space="preserve"> perioadă a anului 201</w:t>
      </w:r>
      <w:r w:rsidR="00141D87" w:rsidRPr="00084148">
        <w:rPr>
          <w:lang w:val="ro-RO"/>
        </w:rPr>
        <w:t>5</w:t>
      </w:r>
      <w:r w:rsidR="0075373D" w:rsidRPr="00084148">
        <w:rPr>
          <w:lang w:val="ro-RO"/>
        </w:rPr>
        <w:t>, din care:</w:t>
      </w:r>
    </w:p>
    <w:p w:rsidR="00895B4F" w:rsidRPr="00850420" w:rsidRDefault="00895B4F" w:rsidP="00850420">
      <w:pPr>
        <w:pStyle w:val="ac"/>
        <w:numPr>
          <w:ilvl w:val="0"/>
          <w:numId w:val="35"/>
        </w:numPr>
        <w:rPr>
          <w:rStyle w:val="ae"/>
        </w:rPr>
      </w:pPr>
      <w:r w:rsidRPr="00850420">
        <w:rPr>
          <w:rStyle w:val="ae"/>
        </w:rPr>
        <w:t xml:space="preserve">menținute fără modificări – </w:t>
      </w:r>
      <w:r w:rsidR="00084148" w:rsidRPr="00850420">
        <w:rPr>
          <w:rStyle w:val="ae"/>
          <w:b/>
        </w:rPr>
        <w:t>6</w:t>
      </w:r>
      <w:r w:rsidR="00084148" w:rsidRPr="00850420">
        <w:rPr>
          <w:rStyle w:val="ae"/>
        </w:rPr>
        <w:t xml:space="preserve"> </w:t>
      </w:r>
      <w:r w:rsidRPr="00850420">
        <w:rPr>
          <w:rStyle w:val="ae"/>
        </w:rPr>
        <w:t>(</w:t>
      </w:r>
      <w:r w:rsidR="00084148" w:rsidRPr="00850420">
        <w:rPr>
          <w:rStyle w:val="ae"/>
        </w:rPr>
        <w:t>37,50</w:t>
      </w:r>
      <w:r w:rsidRPr="00850420">
        <w:rPr>
          <w:rStyle w:val="ae"/>
        </w:rPr>
        <w:t xml:space="preserve">%), cu </w:t>
      </w:r>
      <w:r w:rsidR="00141D87" w:rsidRPr="00850420">
        <w:rPr>
          <w:rStyle w:val="ae"/>
        </w:rPr>
        <w:t>2</w:t>
      </w:r>
      <w:r w:rsidRPr="00850420">
        <w:rPr>
          <w:rStyle w:val="ae"/>
        </w:rPr>
        <w:t xml:space="preserve"> cauze mai mult ca în </w:t>
      </w:r>
      <w:r w:rsidR="00850420" w:rsidRPr="00850420">
        <w:rPr>
          <w:rStyle w:val="ae"/>
        </w:rPr>
        <w:t>aceeași</w:t>
      </w:r>
      <w:r w:rsidRPr="00850420">
        <w:rPr>
          <w:rStyle w:val="ae"/>
        </w:rPr>
        <w:t xml:space="preserve"> perioadă a anului 201</w:t>
      </w:r>
      <w:r w:rsidR="00141D87" w:rsidRPr="00850420">
        <w:rPr>
          <w:rStyle w:val="ae"/>
        </w:rPr>
        <w:t>5</w:t>
      </w:r>
      <w:r w:rsidRPr="00850420">
        <w:rPr>
          <w:rStyle w:val="ae"/>
        </w:rPr>
        <w:t>,</w:t>
      </w:r>
    </w:p>
    <w:p w:rsidR="00895B4F" w:rsidRPr="00850420" w:rsidRDefault="00895B4F" w:rsidP="00850420">
      <w:pPr>
        <w:pStyle w:val="ac"/>
        <w:numPr>
          <w:ilvl w:val="0"/>
          <w:numId w:val="35"/>
        </w:numPr>
        <w:rPr>
          <w:rStyle w:val="ae"/>
        </w:rPr>
      </w:pPr>
      <w:r w:rsidRPr="00850420">
        <w:rPr>
          <w:rStyle w:val="ae"/>
        </w:rPr>
        <w:t xml:space="preserve">casate cu </w:t>
      </w:r>
      <w:r w:rsidR="00850420" w:rsidRPr="00850420">
        <w:rPr>
          <w:rStyle w:val="ae"/>
        </w:rPr>
        <w:t>pronunțarea</w:t>
      </w:r>
      <w:r w:rsidRPr="00850420">
        <w:rPr>
          <w:rStyle w:val="ae"/>
        </w:rPr>
        <w:t xml:space="preserve"> unei noi </w:t>
      </w:r>
      <w:r w:rsidR="00850420" w:rsidRPr="00850420">
        <w:rPr>
          <w:rStyle w:val="ae"/>
        </w:rPr>
        <w:t>hotărâri</w:t>
      </w:r>
      <w:r w:rsidRPr="00850420">
        <w:rPr>
          <w:rStyle w:val="ae"/>
        </w:rPr>
        <w:t xml:space="preserve"> – </w:t>
      </w:r>
      <w:r w:rsidR="00084148" w:rsidRPr="00850420">
        <w:rPr>
          <w:rStyle w:val="ae"/>
          <w:b/>
        </w:rPr>
        <w:t>10</w:t>
      </w:r>
      <w:r w:rsidR="00084148" w:rsidRPr="00850420">
        <w:rPr>
          <w:rStyle w:val="ae"/>
        </w:rPr>
        <w:t xml:space="preserve"> </w:t>
      </w:r>
      <w:r w:rsidRPr="00850420">
        <w:rPr>
          <w:rStyle w:val="ae"/>
        </w:rPr>
        <w:t>(</w:t>
      </w:r>
      <w:r w:rsidR="00084148" w:rsidRPr="00850420">
        <w:rPr>
          <w:rStyle w:val="ae"/>
        </w:rPr>
        <w:t>62,50</w:t>
      </w:r>
      <w:r w:rsidRPr="00850420">
        <w:rPr>
          <w:rStyle w:val="ae"/>
        </w:rPr>
        <w:t xml:space="preserve"> %), cu</w:t>
      </w:r>
      <w:r w:rsidR="00084148" w:rsidRPr="00850420">
        <w:rPr>
          <w:rStyle w:val="ae"/>
        </w:rPr>
        <w:t xml:space="preserve"> 7 </w:t>
      </w:r>
      <w:r w:rsidRPr="00850420">
        <w:rPr>
          <w:rStyle w:val="ae"/>
        </w:rPr>
        <w:t>cauz</w:t>
      </w:r>
      <w:r w:rsidR="00084148" w:rsidRPr="00850420">
        <w:rPr>
          <w:rStyle w:val="ae"/>
        </w:rPr>
        <w:t>e</w:t>
      </w:r>
      <w:r w:rsidRPr="00850420">
        <w:rPr>
          <w:rStyle w:val="ae"/>
        </w:rPr>
        <w:t xml:space="preserve"> mai mult ca în </w:t>
      </w:r>
      <w:r w:rsidR="00850420" w:rsidRPr="00850420">
        <w:rPr>
          <w:rStyle w:val="ae"/>
        </w:rPr>
        <w:t>aceeași</w:t>
      </w:r>
      <w:r w:rsidRPr="00850420">
        <w:rPr>
          <w:rStyle w:val="ae"/>
        </w:rPr>
        <w:t xml:space="preserve"> perioadă a anului 201</w:t>
      </w:r>
      <w:r w:rsidR="00141D87" w:rsidRPr="00850420">
        <w:rPr>
          <w:rStyle w:val="ae"/>
        </w:rPr>
        <w:t>5</w:t>
      </w:r>
      <w:r w:rsidRPr="00850420">
        <w:rPr>
          <w:rStyle w:val="ae"/>
        </w:rPr>
        <w:t>.</w:t>
      </w:r>
    </w:p>
    <w:p w:rsidR="00895B4F" w:rsidRPr="00084148" w:rsidRDefault="00895B4F" w:rsidP="00850420">
      <w:pPr>
        <w:rPr>
          <w:lang w:val="ro-RO"/>
        </w:rPr>
      </w:pPr>
    </w:p>
    <w:p w:rsidR="00084148" w:rsidRPr="00084148" w:rsidRDefault="00895B4F" w:rsidP="00850420">
      <w:pPr>
        <w:rPr>
          <w:lang w:val="ro-RO"/>
        </w:rPr>
      </w:pPr>
      <w:r w:rsidRPr="00084148">
        <w:rPr>
          <w:b/>
          <w:u w:val="single"/>
          <w:lang w:val="ro-RO"/>
        </w:rPr>
        <w:t>Judecătoria Cantemir</w:t>
      </w:r>
      <w:r w:rsidRPr="00084148">
        <w:rPr>
          <w:lang w:val="ro-RO"/>
        </w:rPr>
        <w:t xml:space="preserve"> – examinate – </w:t>
      </w:r>
      <w:r w:rsidR="00084148" w:rsidRPr="00084148">
        <w:rPr>
          <w:b/>
          <w:lang w:val="ro-RO"/>
        </w:rPr>
        <w:t>27</w:t>
      </w:r>
      <w:r w:rsidRPr="00084148">
        <w:rPr>
          <w:lang w:val="ro-RO"/>
        </w:rPr>
        <w:t xml:space="preserve"> cauze (Nr. persoane - </w:t>
      </w:r>
      <w:r w:rsidR="00084148" w:rsidRPr="00084148">
        <w:rPr>
          <w:b/>
          <w:lang w:val="ro-RO"/>
        </w:rPr>
        <w:t>28</w:t>
      </w:r>
      <w:r w:rsidRPr="00084148">
        <w:rPr>
          <w:lang w:val="ro-RO"/>
        </w:rPr>
        <w:t xml:space="preserve">), </w:t>
      </w:r>
      <w:r w:rsidR="00084148" w:rsidRPr="00084148">
        <w:rPr>
          <w:lang w:val="ro-RO"/>
        </w:rPr>
        <w:t xml:space="preserve">cu </w:t>
      </w:r>
      <w:r w:rsidR="00084148" w:rsidRPr="00084148">
        <w:rPr>
          <w:b/>
          <w:lang w:val="ro-RO"/>
        </w:rPr>
        <w:t xml:space="preserve">10 </w:t>
      </w:r>
      <w:r w:rsidR="00084148" w:rsidRPr="00084148">
        <w:rPr>
          <w:lang w:val="ro-RO"/>
        </w:rPr>
        <w:t xml:space="preserve">cauze mai mult ca în </w:t>
      </w:r>
      <w:r w:rsidR="00850420" w:rsidRPr="00084148">
        <w:rPr>
          <w:lang w:val="ro-RO"/>
        </w:rPr>
        <w:t>aceeași</w:t>
      </w:r>
      <w:r w:rsidR="00084148" w:rsidRPr="00084148">
        <w:rPr>
          <w:lang w:val="ro-RO"/>
        </w:rPr>
        <w:t xml:space="preserve"> perioadă a anului 2015</w:t>
      </w:r>
      <w:r w:rsidR="00084148">
        <w:rPr>
          <w:lang w:val="ro-RO"/>
        </w:rPr>
        <w:t xml:space="preserve">, </w:t>
      </w:r>
      <w:r w:rsidR="0075373D" w:rsidRPr="00084148">
        <w:rPr>
          <w:lang w:val="ro-RO"/>
        </w:rPr>
        <w:t xml:space="preserve">din care : </w:t>
      </w:r>
    </w:p>
    <w:p w:rsidR="00084148" w:rsidRPr="00850420" w:rsidRDefault="00895B4F" w:rsidP="00850420">
      <w:pPr>
        <w:pStyle w:val="ac"/>
        <w:numPr>
          <w:ilvl w:val="0"/>
          <w:numId w:val="35"/>
        </w:numPr>
        <w:rPr>
          <w:rStyle w:val="ae"/>
        </w:rPr>
      </w:pPr>
      <w:r w:rsidRPr="00850420">
        <w:rPr>
          <w:rStyle w:val="ae"/>
        </w:rPr>
        <w:t>menținute fără modificări –</w:t>
      </w:r>
      <w:r w:rsidR="00084148" w:rsidRPr="00850420">
        <w:rPr>
          <w:rStyle w:val="ae"/>
          <w:b/>
        </w:rPr>
        <w:t>15</w:t>
      </w:r>
      <w:r w:rsidR="00084148" w:rsidRPr="00850420">
        <w:rPr>
          <w:rStyle w:val="ae"/>
        </w:rPr>
        <w:t xml:space="preserve"> </w:t>
      </w:r>
      <w:r w:rsidRPr="00850420">
        <w:rPr>
          <w:rStyle w:val="ae"/>
        </w:rPr>
        <w:t>(</w:t>
      </w:r>
      <w:r w:rsidR="00084148" w:rsidRPr="00850420">
        <w:rPr>
          <w:rStyle w:val="ae"/>
        </w:rPr>
        <w:t>55,56</w:t>
      </w:r>
      <w:r w:rsidRPr="00850420">
        <w:rPr>
          <w:rStyle w:val="ae"/>
        </w:rPr>
        <w:t xml:space="preserve">%), cu </w:t>
      </w:r>
      <w:r w:rsidR="00084148" w:rsidRPr="00850420">
        <w:rPr>
          <w:rStyle w:val="ae"/>
        </w:rPr>
        <w:t>5</w:t>
      </w:r>
      <w:r w:rsidRPr="00850420">
        <w:rPr>
          <w:rStyle w:val="ae"/>
        </w:rPr>
        <w:t xml:space="preserve"> cauze mai </w:t>
      </w:r>
      <w:r w:rsidR="00084148" w:rsidRPr="00850420">
        <w:rPr>
          <w:rStyle w:val="ae"/>
        </w:rPr>
        <w:t>mult</w:t>
      </w:r>
      <w:r w:rsidRPr="00850420">
        <w:rPr>
          <w:rStyle w:val="ae"/>
        </w:rPr>
        <w:t xml:space="preserve"> ca în </w:t>
      </w:r>
      <w:r w:rsidR="00850420" w:rsidRPr="00850420">
        <w:rPr>
          <w:rStyle w:val="ae"/>
        </w:rPr>
        <w:t>aceeași</w:t>
      </w:r>
      <w:r w:rsidRPr="00850420">
        <w:rPr>
          <w:rStyle w:val="ae"/>
        </w:rPr>
        <w:t xml:space="preserve"> perioadă a anului 201</w:t>
      </w:r>
      <w:r w:rsidR="0075373D" w:rsidRPr="00850420">
        <w:rPr>
          <w:rStyle w:val="ae"/>
        </w:rPr>
        <w:t>5</w:t>
      </w:r>
      <w:r w:rsidRPr="00850420">
        <w:rPr>
          <w:rStyle w:val="ae"/>
        </w:rPr>
        <w:t>,</w:t>
      </w:r>
    </w:p>
    <w:p w:rsidR="00895B4F" w:rsidRPr="00850420" w:rsidRDefault="00895B4F" w:rsidP="00850420">
      <w:pPr>
        <w:pStyle w:val="ac"/>
        <w:numPr>
          <w:ilvl w:val="0"/>
          <w:numId w:val="35"/>
        </w:numPr>
        <w:rPr>
          <w:rStyle w:val="ae"/>
        </w:rPr>
      </w:pPr>
      <w:r w:rsidRPr="00850420">
        <w:rPr>
          <w:rStyle w:val="ae"/>
        </w:rPr>
        <w:t xml:space="preserve">casate cu </w:t>
      </w:r>
      <w:r w:rsidR="00850420" w:rsidRPr="00850420">
        <w:rPr>
          <w:rStyle w:val="ae"/>
        </w:rPr>
        <w:t>pronunțarea</w:t>
      </w:r>
      <w:r w:rsidRPr="00850420">
        <w:rPr>
          <w:rStyle w:val="ae"/>
        </w:rPr>
        <w:t xml:space="preserve"> unei noi </w:t>
      </w:r>
      <w:r w:rsidR="00850420" w:rsidRPr="00850420">
        <w:rPr>
          <w:rStyle w:val="ae"/>
        </w:rPr>
        <w:t>hotărâri</w:t>
      </w:r>
      <w:r w:rsidRPr="00850420">
        <w:rPr>
          <w:rStyle w:val="ae"/>
        </w:rPr>
        <w:t xml:space="preserve"> –</w:t>
      </w:r>
      <w:r w:rsidR="00084148" w:rsidRPr="00850420">
        <w:rPr>
          <w:rStyle w:val="ae"/>
          <w:b/>
        </w:rPr>
        <w:t>12</w:t>
      </w:r>
      <w:r w:rsidR="00084148" w:rsidRPr="00850420">
        <w:rPr>
          <w:rStyle w:val="ae"/>
        </w:rPr>
        <w:t xml:space="preserve"> </w:t>
      </w:r>
      <w:r w:rsidRPr="00850420">
        <w:rPr>
          <w:rStyle w:val="ae"/>
        </w:rPr>
        <w:t>(</w:t>
      </w:r>
      <w:r w:rsidR="00084148" w:rsidRPr="00850420">
        <w:rPr>
          <w:rStyle w:val="ae"/>
        </w:rPr>
        <w:t>44,44</w:t>
      </w:r>
      <w:r w:rsidRPr="00850420">
        <w:rPr>
          <w:rStyle w:val="ae"/>
        </w:rPr>
        <w:t xml:space="preserve"> %) , cu </w:t>
      </w:r>
      <w:r w:rsidR="00084148" w:rsidRPr="00850420">
        <w:rPr>
          <w:rStyle w:val="ae"/>
        </w:rPr>
        <w:t>5</w:t>
      </w:r>
      <w:r w:rsidRPr="00850420">
        <w:rPr>
          <w:rStyle w:val="ae"/>
        </w:rPr>
        <w:t xml:space="preserve"> cauze mai mult ca în </w:t>
      </w:r>
      <w:r w:rsidR="00850420" w:rsidRPr="00850420">
        <w:rPr>
          <w:rStyle w:val="ae"/>
        </w:rPr>
        <w:t>aceeași</w:t>
      </w:r>
      <w:r w:rsidRPr="00850420">
        <w:rPr>
          <w:rStyle w:val="ae"/>
        </w:rPr>
        <w:t xml:space="preserve"> perioadă a anului 201</w:t>
      </w:r>
      <w:r w:rsidR="0075373D" w:rsidRPr="00850420">
        <w:rPr>
          <w:rStyle w:val="ae"/>
        </w:rPr>
        <w:t>5</w:t>
      </w:r>
      <w:r w:rsidRPr="00850420">
        <w:rPr>
          <w:rStyle w:val="ae"/>
        </w:rPr>
        <w:t>.</w:t>
      </w:r>
    </w:p>
    <w:p w:rsidR="00895B4F" w:rsidRPr="00084148" w:rsidRDefault="00895B4F" w:rsidP="00895B4F">
      <w:pPr>
        <w:pStyle w:val="a5"/>
        <w:tabs>
          <w:tab w:val="left" w:pos="142"/>
        </w:tabs>
        <w:ind w:firstLine="567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895B4F" w:rsidRPr="00084148" w:rsidRDefault="00895B4F" w:rsidP="00850420">
      <w:pPr>
        <w:rPr>
          <w:lang w:val="ro-RO"/>
        </w:rPr>
      </w:pPr>
      <w:r w:rsidRPr="00084148">
        <w:rPr>
          <w:b/>
          <w:u w:val="single"/>
          <w:lang w:val="ro-RO"/>
        </w:rPr>
        <w:t xml:space="preserve">Judecătoria Taraclia </w:t>
      </w:r>
      <w:r w:rsidRPr="00084148">
        <w:rPr>
          <w:lang w:val="ro-RO"/>
        </w:rPr>
        <w:t xml:space="preserve">– examinate – </w:t>
      </w:r>
      <w:r w:rsidR="00084148">
        <w:rPr>
          <w:b/>
          <w:lang w:val="ro-RO"/>
        </w:rPr>
        <w:t>21</w:t>
      </w:r>
      <w:r w:rsidRPr="00084148">
        <w:rPr>
          <w:lang w:val="ro-RO"/>
        </w:rPr>
        <w:t xml:space="preserve"> cauze (Nr. persoane - </w:t>
      </w:r>
      <w:r w:rsidR="00084148">
        <w:rPr>
          <w:b/>
          <w:lang w:val="ro-RO"/>
        </w:rPr>
        <w:t>22</w:t>
      </w:r>
      <w:r w:rsidRPr="00084148">
        <w:rPr>
          <w:lang w:val="ro-RO"/>
        </w:rPr>
        <w:t xml:space="preserve">), cu  cauze mai </w:t>
      </w:r>
      <w:r w:rsidR="00084148">
        <w:rPr>
          <w:lang w:val="ro-RO"/>
        </w:rPr>
        <w:t>mult</w:t>
      </w:r>
      <w:r w:rsidR="0075373D" w:rsidRPr="00084148">
        <w:rPr>
          <w:lang w:val="ro-RO"/>
        </w:rPr>
        <w:t xml:space="preserve"> </w:t>
      </w:r>
      <w:r w:rsidRPr="00084148">
        <w:rPr>
          <w:lang w:val="ro-RO"/>
        </w:rPr>
        <w:t xml:space="preserve">ca în </w:t>
      </w:r>
      <w:r w:rsidR="00850420" w:rsidRPr="00084148">
        <w:rPr>
          <w:lang w:val="ro-RO"/>
        </w:rPr>
        <w:t>aceeași</w:t>
      </w:r>
      <w:r w:rsidRPr="00084148">
        <w:rPr>
          <w:lang w:val="ro-RO"/>
        </w:rPr>
        <w:t xml:space="preserve"> perioadă a anului 201</w:t>
      </w:r>
      <w:r w:rsidR="0075373D" w:rsidRPr="00084148">
        <w:rPr>
          <w:lang w:val="ro-RO"/>
        </w:rPr>
        <w:t>5</w:t>
      </w:r>
      <w:r w:rsidRPr="00084148">
        <w:rPr>
          <w:lang w:val="ro-RO"/>
        </w:rPr>
        <w:t>,</w:t>
      </w:r>
      <w:r w:rsidR="0075373D" w:rsidRPr="00084148">
        <w:rPr>
          <w:lang w:val="ro-RO"/>
        </w:rPr>
        <w:t xml:space="preserve"> din care:</w:t>
      </w:r>
    </w:p>
    <w:p w:rsidR="00A55603" w:rsidRPr="00850420" w:rsidRDefault="00895B4F" w:rsidP="00850420">
      <w:pPr>
        <w:pStyle w:val="ac"/>
        <w:numPr>
          <w:ilvl w:val="0"/>
          <w:numId w:val="35"/>
        </w:numPr>
        <w:rPr>
          <w:rStyle w:val="ae"/>
        </w:rPr>
      </w:pPr>
      <w:r w:rsidRPr="00850420">
        <w:rPr>
          <w:rStyle w:val="ae"/>
        </w:rPr>
        <w:t>menținute fără modificări –</w:t>
      </w:r>
      <w:r w:rsidR="00084148" w:rsidRPr="00850420">
        <w:rPr>
          <w:rStyle w:val="ae"/>
          <w:b/>
        </w:rPr>
        <w:t>16</w:t>
      </w:r>
      <w:r w:rsidR="00084148" w:rsidRPr="00850420">
        <w:rPr>
          <w:rStyle w:val="ae"/>
        </w:rPr>
        <w:t xml:space="preserve"> </w:t>
      </w:r>
      <w:r w:rsidRPr="00850420">
        <w:rPr>
          <w:rStyle w:val="ae"/>
        </w:rPr>
        <w:t>(</w:t>
      </w:r>
      <w:r w:rsidR="00A55603" w:rsidRPr="00850420">
        <w:rPr>
          <w:rStyle w:val="ae"/>
        </w:rPr>
        <w:t>76,19</w:t>
      </w:r>
      <w:r w:rsidRPr="00850420">
        <w:rPr>
          <w:rStyle w:val="ae"/>
        </w:rPr>
        <w:t xml:space="preserve"> %), cu </w:t>
      </w:r>
      <w:r w:rsidR="00A55603" w:rsidRPr="00850420">
        <w:rPr>
          <w:rStyle w:val="ae"/>
        </w:rPr>
        <w:t>12</w:t>
      </w:r>
      <w:r w:rsidRPr="00850420">
        <w:rPr>
          <w:rStyle w:val="ae"/>
        </w:rPr>
        <w:t xml:space="preserve"> cauze mai </w:t>
      </w:r>
      <w:r w:rsidR="0075373D" w:rsidRPr="00850420">
        <w:rPr>
          <w:rStyle w:val="ae"/>
        </w:rPr>
        <w:t>mult</w:t>
      </w:r>
      <w:r w:rsidRPr="00850420">
        <w:rPr>
          <w:rStyle w:val="ae"/>
        </w:rPr>
        <w:t xml:space="preserve"> ca în </w:t>
      </w:r>
      <w:r w:rsidR="00850420" w:rsidRPr="00850420">
        <w:rPr>
          <w:rStyle w:val="ae"/>
        </w:rPr>
        <w:t>aceeași</w:t>
      </w:r>
      <w:r w:rsidRPr="00850420">
        <w:rPr>
          <w:rStyle w:val="ae"/>
        </w:rPr>
        <w:t xml:space="preserve"> perioadă a anului 201</w:t>
      </w:r>
      <w:r w:rsidR="0075373D" w:rsidRPr="00850420">
        <w:rPr>
          <w:rStyle w:val="ae"/>
        </w:rPr>
        <w:t>5</w:t>
      </w:r>
      <w:r w:rsidR="00A55603" w:rsidRPr="00850420">
        <w:rPr>
          <w:rStyle w:val="ae"/>
        </w:rPr>
        <w:t>,</w:t>
      </w:r>
    </w:p>
    <w:p w:rsidR="00895B4F" w:rsidRPr="00850420" w:rsidRDefault="00895B4F" w:rsidP="00850420">
      <w:pPr>
        <w:pStyle w:val="ac"/>
        <w:numPr>
          <w:ilvl w:val="0"/>
          <w:numId w:val="35"/>
        </w:numPr>
        <w:rPr>
          <w:rStyle w:val="ae"/>
        </w:rPr>
      </w:pPr>
      <w:r w:rsidRPr="00850420">
        <w:rPr>
          <w:rStyle w:val="ae"/>
        </w:rPr>
        <w:t xml:space="preserve">casate cu </w:t>
      </w:r>
      <w:r w:rsidR="00850420" w:rsidRPr="00850420">
        <w:rPr>
          <w:rStyle w:val="ae"/>
        </w:rPr>
        <w:t>pronunțarea</w:t>
      </w:r>
      <w:r w:rsidRPr="00850420">
        <w:rPr>
          <w:rStyle w:val="ae"/>
        </w:rPr>
        <w:t xml:space="preserve"> unei noi </w:t>
      </w:r>
      <w:r w:rsidR="00850420" w:rsidRPr="00850420">
        <w:rPr>
          <w:rStyle w:val="ae"/>
        </w:rPr>
        <w:t>hotărâri</w:t>
      </w:r>
      <w:r w:rsidRPr="00850420">
        <w:rPr>
          <w:rStyle w:val="ae"/>
        </w:rPr>
        <w:t xml:space="preserve"> –</w:t>
      </w:r>
      <w:r w:rsidR="00A55603" w:rsidRPr="00850420">
        <w:rPr>
          <w:rStyle w:val="ae"/>
        </w:rPr>
        <w:t xml:space="preserve"> </w:t>
      </w:r>
      <w:r w:rsidR="00A55603" w:rsidRPr="00850420">
        <w:rPr>
          <w:rStyle w:val="ae"/>
          <w:b/>
        </w:rPr>
        <w:t>5</w:t>
      </w:r>
      <w:r w:rsidR="00A55603" w:rsidRPr="00850420">
        <w:rPr>
          <w:rStyle w:val="ae"/>
        </w:rPr>
        <w:t xml:space="preserve"> </w:t>
      </w:r>
      <w:r w:rsidRPr="00850420">
        <w:rPr>
          <w:rStyle w:val="ae"/>
        </w:rPr>
        <w:t>(</w:t>
      </w:r>
      <w:r w:rsidR="00A55603" w:rsidRPr="00850420">
        <w:rPr>
          <w:rStyle w:val="ae"/>
        </w:rPr>
        <w:t>23,81</w:t>
      </w:r>
      <w:r w:rsidRPr="00850420">
        <w:rPr>
          <w:rStyle w:val="ae"/>
        </w:rPr>
        <w:t xml:space="preserve"> %), cu </w:t>
      </w:r>
      <w:r w:rsidR="00A55603" w:rsidRPr="00850420">
        <w:rPr>
          <w:rStyle w:val="ae"/>
        </w:rPr>
        <w:t>6</w:t>
      </w:r>
      <w:r w:rsidRPr="00850420">
        <w:rPr>
          <w:rStyle w:val="ae"/>
        </w:rPr>
        <w:t xml:space="preserve"> cauze mai </w:t>
      </w:r>
      <w:r w:rsidR="0075373D" w:rsidRPr="00850420">
        <w:rPr>
          <w:rStyle w:val="ae"/>
        </w:rPr>
        <w:t>puțin</w:t>
      </w:r>
      <w:r w:rsidRPr="00850420">
        <w:rPr>
          <w:rStyle w:val="ae"/>
        </w:rPr>
        <w:t xml:space="preserve"> ca în </w:t>
      </w:r>
      <w:r w:rsidR="00850420" w:rsidRPr="00850420">
        <w:rPr>
          <w:rStyle w:val="ae"/>
        </w:rPr>
        <w:t>aceeași</w:t>
      </w:r>
      <w:r w:rsidRPr="00850420">
        <w:rPr>
          <w:rStyle w:val="ae"/>
        </w:rPr>
        <w:t xml:space="preserve"> perioadă a anului 201</w:t>
      </w:r>
      <w:r w:rsidR="0075373D" w:rsidRPr="00850420">
        <w:rPr>
          <w:rStyle w:val="ae"/>
        </w:rPr>
        <w:t>5</w:t>
      </w:r>
      <w:r w:rsidRPr="00850420">
        <w:rPr>
          <w:rStyle w:val="ae"/>
        </w:rPr>
        <w:t>.</w:t>
      </w:r>
    </w:p>
    <w:p w:rsidR="00895B4F" w:rsidRPr="00084148" w:rsidRDefault="00895B4F" w:rsidP="00850420">
      <w:pPr>
        <w:rPr>
          <w:lang w:val="ro-RO"/>
        </w:rPr>
      </w:pPr>
    </w:p>
    <w:p w:rsidR="00895B4F" w:rsidRPr="00A55603" w:rsidRDefault="00895B4F" w:rsidP="00850420">
      <w:pPr>
        <w:rPr>
          <w:lang w:val="ro-RO"/>
        </w:rPr>
      </w:pPr>
      <w:r w:rsidRPr="00084148">
        <w:rPr>
          <w:b/>
          <w:u w:val="single"/>
          <w:lang w:val="ro-RO"/>
        </w:rPr>
        <w:t>Judecătoria Comrat</w:t>
      </w:r>
      <w:r w:rsidRPr="00084148">
        <w:rPr>
          <w:lang w:val="ro-RO"/>
        </w:rPr>
        <w:t xml:space="preserve"> – examinate – </w:t>
      </w:r>
      <w:r w:rsidR="00A55603">
        <w:rPr>
          <w:b/>
          <w:lang w:val="ro-RO"/>
        </w:rPr>
        <w:t xml:space="preserve">9 </w:t>
      </w:r>
      <w:r w:rsidRPr="00084148">
        <w:rPr>
          <w:lang w:val="ro-RO"/>
        </w:rPr>
        <w:t xml:space="preserve">cauze </w:t>
      </w:r>
      <w:r w:rsidRPr="00A55603">
        <w:rPr>
          <w:lang w:val="ro-RO"/>
        </w:rPr>
        <w:t>(Nr. persoane -</w:t>
      </w:r>
      <w:r w:rsidR="00A55603">
        <w:rPr>
          <w:lang w:val="ro-RO"/>
        </w:rPr>
        <w:t xml:space="preserve"> </w:t>
      </w:r>
      <w:r w:rsidR="00A55603">
        <w:rPr>
          <w:b/>
          <w:lang w:val="ro-RO"/>
        </w:rPr>
        <w:t>9</w:t>
      </w:r>
      <w:r w:rsidRPr="00A55603">
        <w:rPr>
          <w:lang w:val="ro-RO"/>
        </w:rPr>
        <w:t xml:space="preserve"> ), cu </w:t>
      </w:r>
      <w:r w:rsidR="00A55603">
        <w:rPr>
          <w:lang w:val="ro-RO"/>
        </w:rPr>
        <w:t>5</w:t>
      </w:r>
      <w:r w:rsidRPr="00A55603">
        <w:rPr>
          <w:lang w:val="ro-RO"/>
        </w:rPr>
        <w:t xml:space="preserve"> cauz</w:t>
      </w:r>
      <w:r w:rsidR="0075373D" w:rsidRPr="00A55603">
        <w:rPr>
          <w:lang w:val="ro-RO"/>
        </w:rPr>
        <w:t>e</w:t>
      </w:r>
      <w:r w:rsidRPr="00A55603">
        <w:rPr>
          <w:lang w:val="ro-RO"/>
        </w:rPr>
        <w:t xml:space="preserve"> mai mult ca în </w:t>
      </w:r>
      <w:r w:rsidR="00850420" w:rsidRPr="00A55603">
        <w:rPr>
          <w:lang w:val="ro-RO"/>
        </w:rPr>
        <w:t>aceeași</w:t>
      </w:r>
      <w:r w:rsidRPr="00A55603">
        <w:rPr>
          <w:lang w:val="ro-RO"/>
        </w:rPr>
        <w:t xml:space="preserve"> perioadă a anului 201</w:t>
      </w:r>
      <w:r w:rsidR="0075373D" w:rsidRPr="00A55603">
        <w:rPr>
          <w:lang w:val="ro-RO"/>
        </w:rPr>
        <w:t>5</w:t>
      </w:r>
      <w:r w:rsidRPr="00A55603">
        <w:rPr>
          <w:lang w:val="ro-RO"/>
        </w:rPr>
        <w:t>,</w:t>
      </w:r>
      <w:r w:rsidR="0075373D" w:rsidRPr="00A55603">
        <w:rPr>
          <w:lang w:val="ro-RO"/>
        </w:rPr>
        <w:t xml:space="preserve"> din care:</w:t>
      </w:r>
    </w:p>
    <w:p w:rsidR="00895B4F" w:rsidRPr="00850420" w:rsidRDefault="00895B4F" w:rsidP="00850420">
      <w:pPr>
        <w:pStyle w:val="ac"/>
        <w:numPr>
          <w:ilvl w:val="0"/>
          <w:numId w:val="35"/>
        </w:numPr>
        <w:rPr>
          <w:rStyle w:val="ae"/>
        </w:rPr>
      </w:pPr>
      <w:r w:rsidRPr="00850420">
        <w:rPr>
          <w:rStyle w:val="ae"/>
        </w:rPr>
        <w:t>menținute fără modificări –</w:t>
      </w:r>
      <w:r w:rsidR="00A55603" w:rsidRPr="00850420">
        <w:rPr>
          <w:rStyle w:val="ae"/>
        </w:rPr>
        <w:t xml:space="preserve"> </w:t>
      </w:r>
      <w:r w:rsidR="00A55603" w:rsidRPr="00850420">
        <w:rPr>
          <w:rStyle w:val="ae"/>
          <w:b/>
        </w:rPr>
        <w:t>3</w:t>
      </w:r>
      <w:r w:rsidR="00A55603" w:rsidRPr="00850420">
        <w:rPr>
          <w:rStyle w:val="ae"/>
        </w:rPr>
        <w:t xml:space="preserve"> </w:t>
      </w:r>
      <w:r w:rsidRPr="00850420">
        <w:rPr>
          <w:rStyle w:val="ae"/>
        </w:rPr>
        <w:t>(</w:t>
      </w:r>
      <w:r w:rsidR="00A55603" w:rsidRPr="00850420">
        <w:rPr>
          <w:rStyle w:val="ae"/>
        </w:rPr>
        <w:t>33,33</w:t>
      </w:r>
      <w:r w:rsidRPr="00850420">
        <w:rPr>
          <w:rStyle w:val="ae"/>
        </w:rPr>
        <w:t xml:space="preserve">%), cu </w:t>
      </w:r>
      <w:r w:rsidR="00A55603" w:rsidRPr="00850420">
        <w:rPr>
          <w:rStyle w:val="ae"/>
        </w:rPr>
        <w:t>2</w:t>
      </w:r>
      <w:r w:rsidRPr="00850420">
        <w:rPr>
          <w:rStyle w:val="ae"/>
        </w:rPr>
        <w:t xml:space="preserve"> cauză mai </w:t>
      </w:r>
      <w:r w:rsidR="0075373D" w:rsidRPr="00850420">
        <w:rPr>
          <w:rStyle w:val="ae"/>
        </w:rPr>
        <w:t>mult</w:t>
      </w:r>
      <w:r w:rsidRPr="00850420">
        <w:rPr>
          <w:rStyle w:val="ae"/>
        </w:rPr>
        <w:t xml:space="preserve"> ca în </w:t>
      </w:r>
      <w:r w:rsidR="00850420" w:rsidRPr="00850420">
        <w:rPr>
          <w:rStyle w:val="ae"/>
        </w:rPr>
        <w:t>aceeași</w:t>
      </w:r>
      <w:r w:rsidRPr="00850420">
        <w:rPr>
          <w:rStyle w:val="ae"/>
        </w:rPr>
        <w:t xml:space="preserve"> perioadă a anului 201</w:t>
      </w:r>
      <w:r w:rsidR="0075373D" w:rsidRPr="00850420">
        <w:rPr>
          <w:rStyle w:val="ae"/>
        </w:rPr>
        <w:t>5</w:t>
      </w:r>
      <w:r w:rsidRPr="00850420">
        <w:rPr>
          <w:rStyle w:val="ae"/>
        </w:rPr>
        <w:t>,</w:t>
      </w:r>
    </w:p>
    <w:p w:rsidR="00895B4F" w:rsidRPr="00850420" w:rsidRDefault="00895B4F" w:rsidP="00850420">
      <w:pPr>
        <w:pStyle w:val="ac"/>
        <w:numPr>
          <w:ilvl w:val="0"/>
          <w:numId w:val="35"/>
        </w:numPr>
        <w:rPr>
          <w:rStyle w:val="ae"/>
        </w:rPr>
      </w:pPr>
      <w:r w:rsidRPr="00850420">
        <w:rPr>
          <w:rStyle w:val="ae"/>
        </w:rPr>
        <w:t xml:space="preserve">casate cu </w:t>
      </w:r>
      <w:r w:rsidR="00850420" w:rsidRPr="00850420">
        <w:rPr>
          <w:rStyle w:val="ae"/>
        </w:rPr>
        <w:t>pronunțarea</w:t>
      </w:r>
      <w:r w:rsidRPr="00850420">
        <w:rPr>
          <w:rStyle w:val="ae"/>
        </w:rPr>
        <w:t xml:space="preserve"> unei noi </w:t>
      </w:r>
      <w:r w:rsidR="00850420" w:rsidRPr="00850420">
        <w:rPr>
          <w:rStyle w:val="ae"/>
        </w:rPr>
        <w:t>hotărâri</w:t>
      </w:r>
      <w:r w:rsidRPr="00850420">
        <w:rPr>
          <w:rStyle w:val="ae"/>
        </w:rPr>
        <w:t xml:space="preserve"> –</w:t>
      </w:r>
      <w:r w:rsidR="00A55603" w:rsidRPr="00850420">
        <w:rPr>
          <w:rStyle w:val="ae"/>
        </w:rPr>
        <w:t xml:space="preserve"> </w:t>
      </w:r>
      <w:r w:rsidR="00A55603" w:rsidRPr="00850420">
        <w:rPr>
          <w:rStyle w:val="ae"/>
          <w:b/>
        </w:rPr>
        <w:t>6</w:t>
      </w:r>
      <w:r w:rsidR="00A55603" w:rsidRPr="00850420">
        <w:rPr>
          <w:rStyle w:val="ae"/>
        </w:rPr>
        <w:t xml:space="preserve"> </w:t>
      </w:r>
      <w:r w:rsidRPr="00850420">
        <w:rPr>
          <w:rStyle w:val="ae"/>
        </w:rPr>
        <w:t>cauze (</w:t>
      </w:r>
      <w:r w:rsidR="00A91030" w:rsidRPr="00850420">
        <w:rPr>
          <w:rStyle w:val="ae"/>
        </w:rPr>
        <w:t>66,67</w:t>
      </w:r>
      <w:r w:rsidRPr="00850420">
        <w:rPr>
          <w:rStyle w:val="ae"/>
        </w:rPr>
        <w:t xml:space="preserve"> %),  cu </w:t>
      </w:r>
      <w:r w:rsidR="0075373D" w:rsidRPr="00850420">
        <w:rPr>
          <w:rStyle w:val="ae"/>
        </w:rPr>
        <w:t>3</w:t>
      </w:r>
      <w:r w:rsidRPr="00850420">
        <w:rPr>
          <w:rStyle w:val="ae"/>
        </w:rPr>
        <w:t xml:space="preserve"> cauz</w:t>
      </w:r>
      <w:r w:rsidR="0075373D" w:rsidRPr="00850420">
        <w:rPr>
          <w:rStyle w:val="ae"/>
        </w:rPr>
        <w:t>e</w:t>
      </w:r>
      <w:r w:rsidRPr="00850420">
        <w:rPr>
          <w:rStyle w:val="ae"/>
        </w:rPr>
        <w:t xml:space="preserve"> mai mult ca în </w:t>
      </w:r>
      <w:r w:rsidR="00850420" w:rsidRPr="00850420">
        <w:rPr>
          <w:rStyle w:val="ae"/>
        </w:rPr>
        <w:t>aceeași</w:t>
      </w:r>
      <w:r w:rsidRPr="00850420">
        <w:rPr>
          <w:rStyle w:val="ae"/>
        </w:rPr>
        <w:t xml:space="preserve"> perioadă a anului 201</w:t>
      </w:r>
      <w:r w:rsidR="0075373D" w:rsidRPr="00850420">
        <w:rPr>
          <w:rStyle w:val="ae"/>
        </w:rPr>
        <w:t>5</w:t>
      </w:r>
      <w:r w:rsidRPr="00850420">
        <w:rPr>
          <w:rStyle w:val="ae"/>
        </w:rPr>
        <w:t>.</w:t>
      </w:r>
    </w:p>
    <w:p w:rsidR="00895B4F" w:rsidRPr="00A55603" w:rsidRDefault="00895B4F" w:rsidP="00850420">
      <w:pPr>
        <w:rPr>
          <w:lang w:val="ro-RO"/>
        </w:rPr>
      </w:pPr>
    </w:p>
    <w:p w:rsidR="0075373D" w:rsidRPr="00A55603" w:rsidRDefault="00895B4F" w:rsidP="00850420">
      <w:pPr>
        <w:rPr>
          <w:lang w:val="ro-RO"/>
        </w:rPr>
      </w:pPr>
      <w:r w:rsidRPr="00A55603">
        <w:rPr>
          <w:b/>
          <w:u w:val="single"/>
          <w:lang w:val="ro-RO"/>
        </w:rPr>
        <w:t xml:space="preserve">Judecătoria </w:t>
      </w:r>
      <w:r w:rsidR="00850420" w:rsidRPr="00A55603">
        <w:rPr>
          <w:b/>
          <w:u w:val="single"/>
          <w:lang w:val="ro-RO"/>
        </w:rPr>
        <w:t>Ceadâr</w:t>
      </w:r>
      <w:r w:rsidRPr="00A55603">
        <w:rPr>
          <w:b/>
          <w:u w:val="single"/>
          <w:lang w:val="ro-RO"/>
        </w:rPr>
        <w:t>-Lunga</w:t>
      </w:r>
      <w:r w:rsidRPr="00A55603">
        <w:rPr>
          <w:lang w:val="ro-RO"/>
        </w:rPr>
        <w:t xml:space="preserve"> – examinate – </w:t>
      </w:r>
      <w:r w:rsidR="00A55603">
        <w:rPr>
          <w:b/>
          <w:lang w:val="ro-RO"/>
        </w:rPr>
        <w:t>3</w:t>
      </w:r>
      <w:r w:rsidRPr="00A55603">
        <w:rPr>
          <w:lang w:val="ro-RO"/>
        </w:rPr>
        <w:t xml:space="preserve"> cauze (Nr. persoane - </w:t>
      </w:r>
      <w:r w:rsidR="00A55603">
        <w:rPr>
          <w:b/>
          <w:lang w:val="ro-RO"/>
        </w:rPr>
        <w:t>5</w:t>
      </w:r>
      <w:r w:rsidR="00E8721B" w:rsidRPr="00A55603">
        <w:rPr>
          <w:lang w:val="ro-RO"/>
        </w:rPr>
        <w:t>),</w:t>
      </w:r>
      <w:r w:rsidR="00A55603">
        <w:rPr>
          <w:lang w:val="ro-RO"/>
        </w:rPr>
        <w:t xml:space="preserve"> </w:t>
      </w:r>
      <w:r w:rsidR="0075373D" w:rsidRPr="00A55603">
        <w:rPr>
          <w:lang w:val="ro-RO"/>
        </w:rPr>
        <w:t xml:space="preserve">la fel ca și în aceeași perioada  a anului 2015, din care : </w:t>
      </w:r>
    </w:p>
    <w:p w:rsidR="00895B4F" w:rsidRPr="00850420" w:rsidRDefault="00895B4F" w:rsidP="00850420">
      <w:pPr>
        <w:pStyle w:val="ac"/>
        <w:numPr>
          <w:ilvl w:val="0"/>
          <w:numId w:val="35"/>
        </w:numPr>
        <w:rPr>
          <w:rStyle w:val="ae"/>
        </w:rPr>
      </w:pPr>
      <w:r w:rsidRPr="00850420">
        <w:rPr>
          <w:rStyle w:val="ae"/>
        </w:rPr>
        <w:t>menținute fără modificări –</w:t>
      </w:r>
      <w:r w:rsidR="00A55603" w:rsidRPr="00850420">
        <w:rPr>
          <w:rStyle w:val="ae"/>
        </w:rPr>
        <w:t xml:space="preserve"> </w:t>
      </w:r>
      <w:r w:rsidR="0075373D" w:rsidRPr="00850420">
        <w:rPr>
          <w:rStyle w:val="ae"/>
          <w:b/>
        </w:rPr>
        <w:t>1</w:t>
      </w:r>
      <w:r w:rsidR="00A55603" w:rsidRPr="00850420">
        <w:rPr>
          <w:rStyle w:val="ae"/>
        </w:rPr>
        <w:t xml:space="preserve"> </w:t>
      </w:r>
      <w:r w:rsidRPr="00850420">
        <w:rPr>
          <w:rStyle w:val="ae"/>
        </w:rPr>
        <w:t>(</w:t>
      </w:r>
      <w:r w:rsidR="00A55603" w:rsidRPr="00850420">
        <w:rPr>
          <w:rStyle w:val="ae"/>
        </w:rPr>
        <w:t>33,33</w:t>
      </w:r>
      <w:r w:rsidRPr="00850420">
        <w:rPr>
          <w:rStyle w:val="ae"/>
        </w:rPr>
        <w:t xml:space="preserve">%), cu </w:t>
      </w:r>
      <w:r w:rsidR="0075373D" w:rsidRPr="00850420">
        <w:rPr>
          <w:rStyle w:val="ae"/>
        </w:rPr>
        <w:t>1</w:t>
      </w:r>
      <w:r w:rsidRPr="00850420">
        <w:rPr>
          <w:rStyle w:val="ae"/>
        </w:rPr>
        <w:t xml:space="preserve"> cauz</w:t>
      </w:r>
      <w:r w:rsidR="0075373D" w:rsidRPr="00850420">
        <w:rPr>
          <w:rStyle w:val="ae"/>
        </w:rPr>
        <w:t>ă</w:t>
      </w:r>
      <w:r w:rsidRPr="00850420">
        <w:rPr>
          <w:rStyle w:val="ae"/>
        </w:rPr>
        <w:t xml:space="preserve"> mai </w:t>
      </w:r>
      <w:r w:rsidR="00A55603" w:rsidRPr="00850420">
        <w:rPr>
          <w:rStyle w:val="ae"/>
        </w:rPr>
        <w:t xml:space="preserve">puțin </w:t>
      </w:r>
      <w:r w:rsidRPr="00850420">
        <w:rPr>
          <w:rStyle w:val="ae"/>
        </w:rPr>
        <w:t xml:space="preserve">ca în </w:t>
      </w:r>
      <w:r w:rsidR="00850420" w:rsidRPr="00850420">
        <w:rPr>
          <w:rStyle w:val="ae"/>
        </w:rPr>
        <w:t>aceeași</w:t>
      </w:r>
      <w:r w:rsidRPr="00850420">
        <w:rPr>
          <w:rStyle w:val="ae"/>
        </w:rPr>
        <w:t xml:space="preserve"> perioadă a anului 201</w:t>
      </w:r>
      <w:r w:rsidR="0075373D" w:rsidRPr="00850420">
        <w:rPr>
          <w:rStyle w:val="ae"/>
        </w:rPr>
        <w:t>5</w:t>
      </w:r>
      <w:r w:rsidRPr="00850420">
        <w:rPr>
          <w:rStyle w:val="ae"/>
        </w:rPr>
        <w:t>,</w:t>
      </w:r>
    </w:p>
    <w:p w:rsidR="006154EF" w:rsidRPr="00850420" w:rsidRDefault="00895B4F" w:rsidP="00850420">
      <w:pPr>
        <w:pStyle w:val="ac"/>
        <w:numPr>
          <w:ilvl w:val="0"/>
          <w:numId w:val="35"/>
        </w:numPr>
        <w:rPr>
          <w:rStyle w:val="ae"/>
        </w:rPr>
      </w:pPr>
      <w:r w:rsidRPr="00850420">
        <w:rPr>
          <w:rStyle w:val="ae"/>
        </w:rPr>
        <w:t xml:space="preserve">casate cu </w:t>
      </w:r>
      <w:r w:rsidR="00850420" w:rsidRPr="00850420">
        <w:rPr>
          <w:rStyle w:val="ae"/>
        </w:rPr>
        <w:t>pronunțarea</w:t>
      </w:r>
      <w:r w:rsidRPr="00850420">
        <w:rPr>
          <w:rStyle w:val="ae"/>
        </w:rPr>
        <w:t xml:space="preserve"> unei noi </w:t>
      </w:r>
      <w:r w:rsidR="00850420" w:rsidRPr="00850420">
        <w:rPr>
          <w:rStyle w:val="ae"/>
        </w:rPr>
        <w:t>hotărâri</w:t>
      </w:r>
      <w:r w:rsidRPr="00850420">
        <w:rPr>
          <w:rStyle w:val="ae"/>
        </w:rPr>
        <w:t xml:space="preserve"> –</w:t>
      </w:r>
      <w:r w:rsidR="00A55603" w:rsidRPr="00850420">
        <w:rPr>
          <w:rStyle w:val="ae"/>
        </w:rPr>
        <w:t xml:space="preserve"> </w:t>
      </w:r>
      <w:r w:rsidR="00A55603" w:rsidRPr="00850420">
        <w:rPr>
          <w:rStyle w:val="ae"/>
          <w:b/>
        </w:rPr>
        <w:t>2</w:t>
      </w:r>
      <w:r w:rsidR="00A55603" w:rsidRPr="00850420">
        <w:rPr>
          <w:rStyle w:val="ae"/>
        </w:rPr>
        <w:t xml:space="preserve"> cauze (66,67%)</w:t>
      </w:r>
      <w:r w:rsidR="00A91030" w:rsidRPr="00850420">
        <w:rPr>
          <w:rStyle w:val="ae"/>
        </w:rPr>
        <w:t xml:space="preserve">, </w:t>
      </w:r>
      <w:r w:rsidRPr="00850420">
        <w:rPr>
          <w:rStyle w:val="ae"/>
        </w:rPr>
        <w:t xml:space="preserve">cu 1 cauză mai </w:t>
      </w:r>
      <w:r w:rsidR="00A55603" w:rsidRPr="00850420">
        <w:rPr>
          <w:rStyle w:val="ae"/>
        </w:rPr>
        <w:t xml:space="preserve">mult </w:t>
      </w:r>
      <w:r w:rsidRPr="00850420">
        <w:rPr>
          <w:rStyle w:val="ae"/>
        </w:rPr>
        <w:t xml:space="preserve">ca în </w:t>
      </w:r>
      <w:r w:rsidR="00850420" w:rsidRPr="00850420">
        <w:rPr>
          <w:rStyle w:val="ae"/>
        </w:rPr>
        <w:t>aceeași</w:t>
      </w:r>
      <w:r w:rsidRPr="00850420">
        <w:rPr>
          <w:rStyle w:val="ae"/>
        </w:rPr>
        <w:t xml:space="preserve"> perioadă a anului 201</w:t>
      </w:r>
      <w:r w:rsidR="0075373D" w:rsidRPr="00850420">
        <w:rPr>
          <w:rStyle w:val="ae"/>
        </w:rPr>
        <w:t>5</w:t>
      </w:r>
      <w:r w:rsidRPr="00850420">
        <w:rPr>
          <w:rStyle w:val="ae"/>
        </w:rPr>
        <w:t>.</w:t>
      </w:r>
    </w:p>
    <w:p w:rsidR="00A55603" w:rsidRPr="00A55603" w:rsidRDefault="00A55603" w:rsidP="00850420">
      <w:pPr>
        <w:rPr>
          <w:b/>
          <w:lang w:val="ro-RO"/>
        </w:rPr>
      </w:pPr>
    </w:p>
    <w:p w:rsidR="00A55603" w:rsidRPr="00A55603" w:rsidRDefault="00A55603" w:rsidP="00850420">
      <w:pPr>
        <w:rPr>
          <w:lang w:val="ro-RO"/>
        </w:rPr>
      </w:pPr>
      <w:r w:rsidRPr="00A55603">
        <w:rPr>
          <w:b/>
          <w:u w:val="single"/>
          <w:lang w:val="ro-RO"/>
        </w:rPr>
        <w:t>Judecătoria</w:t>
      </w:r>
      <w:r w:rsidR="00850420">
        <w:rPr>
          <w:b/>
          <w:u w:val="single"/>
          <w:lang w:val="ro-RO"/>
        </w:rPr>
        <w:t xml:space="preserve"> </w:t>
      </w:r>
      <w:r>
        <w:rPr>
          <w:b/>
          <w:u w:val="single"/>
          <w:lang w:val="ro-RO"/>
        </w:rPr>
        <w:t xml:space="preserve">Vulcănești </w:t>
      </w:r>
      <w:r w:rsidRPr="00A55603">
        <w:rPr>
          <w:lang w:val="ro-RO"/>
        </w:rPr>
        <w:t xml:space="preserve">– examinate – </w:t>
      </w:r>
      <w:r>
        <w:rPr>
          <w:b/>
          <w:lang w:val="ro-RO"/>
        </w:rPr>
        <w:t>1</w:t>
      </w:r>
      <w:r>
        <w:rPr>
          <w:lang w:val="ro-RO"/>
        </w:rPr>
        <w:t xml:space="preserve"> cauză</w:t>
      </w:r>
      <w:r w:rsidRPr="00A55603">
        <w:rPr>
          <w:lang w:val="ro-RO"/>
        </w:rPr>
        <w:t xml:space="preserve"> (Nr. persoane - </w:t>
      </w:r>
      <w:r>
        <w:rPr>
          <w:b/>
          <w:lang w:val="ro-RO"/>
        </w:rPr>
        <w:t>1</w:t>
      </w:r>
      <w:r w:rsidRPr="00A55603">
        <w:rPr>
          <w:lang w:val="ro-RO"/>
        </w:rPr>
        <w:t>),</w:t>
      </w:r>
      <w:r>
        <w:rPr>
          <w:lang w:val="ro-RO"/>
        </w:rPr>
        <w:t xml:space="preserve"> </w:t>
      </w:r>
      <w:r w:rsidRPr="00A55603">
        <w:rPr>
          <w:lang w:val="ro-RO"/>
        </w:rPr>
        <w:t xml:space="preserve">la fel ca și în aceeași perioada  a anului 2015, din care : </w:t>
      </w:r>
    </w:p>
    <w:p w:rsidR="00A55603" w:rsidRPr="00850420" w:rsidRDefault="00A55603" w:rsidP="00850420">
      <w:pPr>
        <w:pStyle w:val="ac"/>
        <w:numPr>
          <w:ilvl w:val="0"/>
          <w:numId w:val="35"/>
        </w:numPr>
        <w:rPr>
          <w:rStyle w:val="ae"/>
        </w:rPr>
      </w:pPr>
      <w:r w:rsidRPr="00850420">
        <w:rPr>
          <w:rStyle w:val="ae"/>
        </w:rPr>
        <w:t xml:space="preserve">menținute fără modificări – </w:t>
      </w:r>
      <w:r w:rsidRPr="00850420">
        <w:rPr>
          <w:rStyle w:val="ae"/>
          <w:b/>
        </w:rPr>
        <w:t>0</w:t>
      </w:r>
      <w:r w:rsidRPr="00850420">
        <w:rPr>
          <w:rStyle w:val="ae"/>
        </w:rPr>
        <w:t xml:space="preserve">, cu 1 cauză mai puțin ca în </w:t>
      </w:r>
      <w:r w:rsidR="00850420" w:rsidRPr="00850420">
        <w:rPr>
          <w:rStyle w:val="ae"/>
        </w:rPr>
        <w:t>aceeași</w:t>
      </w:r>
      <w:r w:rsidRPr="00850420">
        <w:rPr>
          <w:rStyle w:val="ae"/>
        </w:rPr>
        <w:t xml:space="preserve"> perioadă a anului 2015,</w:t>
      </w:r>
    </w:p>
    <w:p w:rsidR="00A55603" w:rsidRPr="00850420" w:rsidRDefault="00A55603" w:rsidP="00850420">
      <w:pPr>
        <w:pStyle w:val="ac"/>
        <w:numPr>
          <w:ilvl w:val="0"/>
          <w:numId w:val="35"/>
        </w:numPr>
        <w:rPr>
          <w:rStyle w:val="ae"/>
        </w:rPr>
      </w:pPr>
      <w:r w:rsidRPr="00850420">
        <w:rPr>
          <w:rStyle w:val="ae"/>
        </w:rPr>
        <w:t xml:space="preserve">casate cu </w:t>
      </w:r>
      <w:r w:rsidR="00850420" w:rsidRPr="00850420">
        <w:rPr>
          <w:rStyle w:val="ae"/>
        </w:rPr>
        <w:t>pronunțarea</w:t>
      </w:r>
      <w:r w:rsidRPr="00850420">
        <w:rPr>
          <w:rStyle w:val="ae"/>
        </w:rPr>
        <w:t xml:space="preserve"> unei noi hotărîri – </w:t>
      </w:r>
      <w:r w:rsidRPr="00850420">
        <w:rPr>
          <w:rStyle w:val="ae"/>
          <w:b/>
        </w:rPr>
        <w:t>1</w:t>
      </w:r>
      <w:r w:rsidRPr="00850420">
        <w:rPr>
          <w:rStyle w:val="ae"/>
        </w:rPr>
        <w:t xml:space="preserve"> cauză (100%), cu 1 cauză mai mult ca în </w:t>
      </w:r>
      <w:r w:rsidR="00850420" w:rsidRPr="00850420">
        <w:rPr>
          <w:rStyle w:val="ae"/>
        </w:rPr>
        <w:t>aceeași</w:t>
      </w:r>
      <w:r w:rsidRPr="00850420">
        <w:rPr>
          <w:rStyle w:val="ae"/>
        </w:rPr>
        <w:t xml:space="preserve"> perioadă a anului 2015.</w:t>
      </w:r>
    </w:p>
    <w:p w:rsidR="00850420" w:rsidRDefault="00850420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895B4F" w:rsidRPr="00A55603" w:rsidRDefault="00895B4F" w:rsidP="00850420">
      <w:pPr>
        <w:pStyle w:val="a5"/>
        <w:numPr>
          <w:ilvl w:val="0"/>
          <w:numId w:val="34"/>
        </w:numPr>
        <w:tabs>
          <w:tab w:val="left" w:pos="142"/>
        </w:tabs>
        <w:ind w:right="-1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A55603">
        <w:rPr>
          <w:rFonts w:ascii="Times New Roman" w:hAnsi="Times New Roman"/>
          <w:b/>
          <w:sz w:val="24"/>
          <w:szCs w:val="24"/>
          <w:lang w:val="ro-RO"/>
        </w:rPr>
        <w:t xml:space="preserve">Examinarea materialelor și dosarelor penale în ordine de recurs </w:t>
      </w:r>
    </w:p>
    <w:p w:rsidR="00895B4F" w:rsidRPr="00A55603" w:rsidRDefault="00895B4F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A55603">
        <w:rPr>
          <w:rFonts w:ascii="Times New Roman" w:hAnsi="Times New Roman"/>
          <w:b/>
          <w:sz w:val="24"/>
          <w:szCs w:val="24"/>
          <w:lang w:val="ro-RO"/>
        </w:rPr>
        <w:t xml:space="preserve">(1r; 14r-16r; 21r; 24r; 10r; 11r; </w:t>
      </w:r>
      <w:r w:rsidR="006154EF" w:rsidRPr="00A55603">
        <w:rPr>
          <w:rFonts w:ascii="Times New Roman" w:hAnsi="Times New Roman"/>
          <w:b/>
          <w:sz w:val="24"/>
          <w:szCs w:val="24"/>
          <w:lang w:val="ro-RO"/>
        </w:rPr>
        <w:t xml:space="preserve">12r; </w:t>
      </w:r>
      <w:r w:rsidRPr="00A55603">
        <w:rPr>
          <w:rFonts w:ascii="Times New Roman" w:hAnsi="Times New Roman"/>
          <w:b/>
          <w:sz w:val="24"/>
          <w:szCs w:val="24"/>
          <w:lang w:val="ro-RO"/>
        </w:rPr>
        <w:t>19r)</w:t>
      </w:r>
    </w:p>
    <w:p w:rsidR="00895B4F" w:rsidRPr="00A55603" w:rsidRDefault="00895B4F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895B4F" w:rsidRPr="00A55603" w:rsidRDefault="00895B4F" w:rsidP="00850420">
      <w:pPr>
        <w:rPr>
          <w:lang w:val="ro-RO"/>
        </w:rPr>
      </w:pPr>
      <w:r w:rsidRPr="00A55603">
        <w:rPr>
          <w:lang w:val="ro-RO"/>
        </w:rPr>
        <w:tab/>
      </w:r>
      <w:r w:rsidR="005F0920" w:rsidRPr="00A55603">
        <w:rPr>
          <w:lang w:val="ro-RO"/>
        </w:rPr>
        <w:t>Pe parcursul perioadei 6</w:t>
      </w:r>
      <w:r w:rsidR="006154EF" w:rsidRPr="00A55603">
        <w:rPr>
          <w:lang w:val="ro-RO"/>
        </w:rPr>
        <w:t xml:space="preserve"> luni a anului 2016 spre examinare la Curtea de Apel Cahul s-au aflat în procedură în total</w:t>
      </w:r>
      <w:r w:rsidR="006154EF" w:rsidRPr="00A55603">
        <w:rPr>
          <w:b/>
          <w:lang w:val="ro-RO"/>
        </w:rPr>
        <w:t xml:space="preserve"> </w:t>
      </w:r>
      <w:r w:rsidR="00A55603">
        <w:rPr>
          <w:b/>
          <w:lang w:val="ro-RO"/>
        </w:rPr>
        <w:t xml:space="preserve">161 </w:t>
      </w:r>
      <w:r w:rsidRPr="00A55603">
        <w:rPr>
          <w:b/>
          <w:lang w:val="ro-RO"/>
        </w:rPr>
        <w:t xml:space="preserve">materiale </w:t>
      </w:r>
      <w:r w:rsidR="00850420" w:rsidRPr="00A55603">
        <w:rPr>
          <w:b/>
          <w:lang w:val="ro-RO"/>
        </w:rPr>
        <w:t>și</w:t>
      </w:r>
      <w:r w:rsidRPr="00A55603">
        <w:rPr>
          <w:b/>
          <w:lang w:val="ro-RO"/>
        </w:rPr>
        <w:t xml:space="preserve"> dosare penale în ordine de recurs, </w:t>
      </w:r>
      <w:r w:rsidR="006154EF" w:rsidRPr="00A55603">
        <w:rPr>
          <w:lang w:val="ro-RO"/>
        </w:rPr>
        <w:t xml:space="preserve">dintre care </w:t>
      </w:r>
      <w:r w:rsidRPr="00A55603">
        <w:rPr>
          <w:lang w:val="ro-RO"/>
        </w:rPr>
        <w:t>(</w:t>
      </w:r>
      <w:r w:rsidR="00A55603">
        <w:rPr>
          <w:lang w:val="ro-RO"/>
        </w:rPr>
        <w:t xml:space="preserve">16 </w:t>
      </w:r>
      <w:r w:rsidRPr="00A55603">
        <w:rPr>
          <w:i/>
          <w:lang w:val="ro-RO"/>
        </w:rPr>
        <w:t xml:space="preserve">cauze penale </w:t>
      </w:r>
      <w:r w:rsidRPr="00A55603">
        <w:rPr>
          <w:i/>
          <w:lang w:val="ro-RO"/>
        </w:rPr>
        <w:lastRenderedPageBreak/>
        <w:t xml:space="preserve">în ordine de recurs, </w:t>
      </w:r>
      <w:r w:rsidR="00A55603">
        <w:rPr>
          <w:i/>
          <w:lang w:val="ro-RO"/>
        </w:rPr>
        <w:t>60</w:t>
      </w:r>
      <w:r w:rsidRPr="00A55603">
        <w:rPr>
          <w:i/>
          <w:lang w:val="ro-RO"/>
        </w:rPr>
        <w:t xml:space="preserve"> mandate de arest, </w:t>
      </w:r>
      <w:r w:rsidR="00A55603">
        <w:rPr>
          <w:i/>
          <w:lang w:val="ro-RO"/>
        </w:rPr>
        <w:t>37</w:t>
      </w:r>
      <w:r w:rsidRPr="00A55603">
        <w:rPr>
          <w:i/>
          <w:lang w:val="ro-RO"/>
        </w:rPr>
        <w:t xml:space="preserve"> prezentări, </w:t>
      </w:r>
      <w:r w:rsidR="00A55603">
        <w:rPr>
          <w:i/>
          <w:lang w:val="ro-RO"/>
        </w:rPr>
        <w:t>11</w:t>
      </w:r>
      <w:r w:rsidRPr="00A55603">
        <w:rPr>
          <w:i/>
          <w:lang w:val="ro-RO"/>
        </w:rPr>
        <w:t xml:space="preserve"> cauze  privind conflictul de </w:t>
      </w:r>
      <w:r w:rsidR="00850420" w:rsidRPr="00A55603">
        <w:rPr>
          <w:i/>
          <w:lang w:val="ro-RO"/>
        </w:rPr>
        <w:t>competență</w:t>
      </w:r>
      <w:r w:rsidRPr="00A55603">
        <w:rPr>
          <w:i/>
          <w:lang w:val="ro-RO"/>
        </w:rPr>
        <w:t xml:space="preserve"> penală, </w:t>
      </w:r>
      <w:r w:rsidR="00044362">
        <w:rPr>
          <w:i/>
          <w:lang w:val="ro-RO"/>
        </w:rPr>
        <w:t>31</w:t>
      </w:r>
      <w:r w:rsidRPr="00A55603">
        <w:rPr>
          <w:i/>
          <w:lang w:val="ro-RO"/>
        </w:rPr>
        <w:t xml:space="preserve"> cauze – plîngeri î/a acț. OUP, </w:t>
      </w:r>
      <w:r w:rsidR="00044362">
        <w:rPr>
          <w:i/>
          <w:lang w:val="ro-RO"/>
        </w:rPr>
        <w:t>6</w:t>
      </w:r>
      <w:r w:rsidRPr="00A55603">
        <w:rPr>
          <w:i/>
          <w:lang w:val="ro-RO"/>
        </w:rPr>
        <w:t xml:space="preserve"> cauze – materiale privind acț. de UP efectuate cu autorizarea judecătorului de </w:t>
      </w:r>
      <w:r w:rsidR="00850420" w:rsidRPr="00A55603">
        <w:rPr>
          <w:i/>
          <w:lang w:val="ro-RO"/>
        </w:rPr>
        <w:t>instrucție</w:t>
      </w:r>
      <w:r w:rsidRPr="00A55603">
        <w:rPr>
          <w:i/>
          <w:lang w:val="ro-RO"/>
        </w:rPr>
        <w:t xml:space="preserve">, </w:t>
      </w:r>
      <w:r w:rsidR="006154EF" w:rsidRPr="00A55603">
        <w:rPr>
          <w:i/>
          <w:lang w:val="ro-RO"/>
        </w:rPr>
        <w:t>0</w:t>
      </w:r>
      <w:r w:rsidRPr="00A55603">
        <w:rPr>
          <w:i/>
          <w:lang w:val="ro-RO"/>
        </w:rPr>
        <w:t xml:space="preserve"> cauze- materiale privind ridicarea provizorie a permisului de conducere</w:t>
      </w:r>
      <w:r w:rsidR="006154EF" w:rsidRPr="00A55603">
        <w:rPr>
          <w:lang w:val="ro-RO"/>
        </w:rPr>
        <w:t>)</w:t>
      </w:r>
      <w:r w:rsidR="00044362">
        <w:rPr>
          <w:lang w:val="ro-RO"/>
        </w:rPr>
        <w:t>.</w:t>
      </w:r>
    </w:p>
    <w:p w:rsidR="006154EF" w:rsidRPr="00A55603" w:rsidRDefault="006154EF" w:rsidP="00850420">
      <w:pPr>
        <w:rPr>
          <w:lang w:val="ro-RO"/>
        </w:rPr>
      </w:pPr>
      <w:r w:rsidRPr="00A55603">
        <w:rPr>
          <w:b/>
          <w:lang w:val="ro-RO"/>
        </w:rPr>
        <w:t>22 cauze</w:t>
      </w:r>
      <w:r w:rsidRPr="00A55603">
        <w:rPr>
          <w:lang w:val="ro-RO"/>
        </w:rPr>
        <w:t xml:space="preserve"> pendinte la începutul perioadei raportate,</w:t>
      </w:r>
      <w:r w:rsidR="00AB5D13">
        <w:rPr>
          <w:lang w:val="ro-RO"/>
        </w:rPr>
        <w:t xml:space="preserve"> </w:t>
      </w:r>
      <w:r w:rsidR="00044362">
        <w:rPr>
          <w:b/>
          <w:lang w:val="ro-RO"/>
        </w:rPr>
        <w:t>139</w:t>
      </w:r>
      <w:r w:rsidRPr="00A55603">
        <w:rPr>
          <w:b/>
          <w:lang w:val="ro-RO"/>
        </w:rPr>
        <w:t xml:space="preserve"> cauze</w:t>
      </w:r>
      <w:r w:rsidRPr="00A55603">
        <w:rPr>
          <w:lang w:val="ro-RO"/>
        </w:rPr>
        <w:t xml:space="preserve">  noi înregistrate</w:t>
      </w:r>
      <w:r w:rsidR="00AB5D13">
        <w:rPr>
          <w:lang w:val="ro-RO"/>
        </w:rPr>
        <w:t>.</w:t>
      </w:r>
    </w:p>
    <w:p w:rsidR="006154EF" w:rsidRPr="00A55603" w:rsidRDefault="006154EF" w:rsidP="00850420">
      <w:pPr>
        <w:rPr>
          <w:lang w:val="ro-RO"/>
        </w:rPr>
      </w:pPr>
      <w:r w:rsidRPr="00A55603">
        <w:rPr>
          <w:lang w:val="ro-RO"/>
        </w:rPr>
        <w:t>Din totalul dosarelor aflate în procedură au fost  soluționate–</w:t>
      </w:r>
      <w:r w:rsidR="00044362">
        <w:rPr>
          <w:lang w:val="ro-RO"/>
        </w:rPr>
        <w:t xml:space="preserve"> </w:t>
      </w:r>
      <w:r w:rsidR="00044362">
        <w:rPr>
          <w:b/>
          <w:lang w:val="ro-RO"/>
        </w:rPr>
        <w:t>13</w:t>
      </w:r>
      <w:r w:rsidR="00AB5D13">
        <w:rPr>
          <w:b/>
          <w:lang w:val="ro-RO"/>
        </w:rPr>
        <w:t>7 dosare</w:t>
      </w:r>
      <w:r w:rsidR="00AB5D13" w:rsidRPr="00A55603">
        <w:rPr>
          <w:lang w:val="ro-RO"/>
        </w:rPr>
        <w:t xml:space="preserve">, </w:t>
      </w:r>
      <w:r w:rsidR="00AB5D13" w:rsidRPr="00A55603">
        <w:rPr>
          <w:i/>
          <w:lang w:val="ro-RO"/>
        </w:rPr>
        <w:t xml:space="preserve">din care fără soluționare în fond </w:t>
      </w:r>
      <w:r w:rsidR="00AB5D13">
        <w:rPr>
          <w:i/>
          <w:lang w:val="ro-RO"/>
        </w:rPr>
        <w:t>2</w:t>
      </w:r>
      <w:r w:rsidR="00AB5D13" w:rsidRPr="00A55603">
        <w:rPr>
          <w:i/>
          <w:lang w:val="ro-RO"/>
        </w:rPr>
        <w:t xml:space="preserve"> cauze, strămutate la CSJ -0 cauze</w:t>
      </w:r>
    </w:p>
    <w:p w:rsidR="006154EF" w:rsidRPr="00200430" w:rsidRDefault="006154EF" w:rsidP="00850420">
      <w:pPr>
        <w:rPr>
          <w:color w:val="000000" w:themeColor="text1"/>
          <w:lang w:val="ro-RO"/>
        </w:rPr>
      </w:pPr>
      <w:r w:rsidRPr="00200430">
        <w:rPr>
          <w:color w:val="000000" w:themeColor="text1"/>
          <w:lang w:val="ro-RO"/>
        </w:rPr>
        <w:t xml:space="preserve">Numărul dosarelor pendinte la sfîrșitul perioadei raportate constituie </w:t>
      </w:r>
      <w:r w:rsidR="00044362">
        <w:rPr>
          <w:b/>
          <w:color w:val="000000" w:themeColor="text1"/>
          <w:lang w:val="ro-RO"/>
        </w:rPr>
        <w:t>24</w:t>
      </w:r>
      <w:r w:rsidRPr="00200430">
        <w:rPr>
          <w:b/>
          <w:color w:val="000000" w:themeColor="text1"/>
          <w:lang w:val="ro-RO"/>
        </w:rPr>
        <w:t xml:space="preserve"> dosare.</w:t>
      </w:r>
    </w:p>
    <w:p w:rsidR="006154EF" w:rsidRPr="00200430" w:rsidRDefault="006154EF" w:rsidP="00850420">
      <w:pPr>
        <w:rPr>
          <w:color w:val="000000" w:themeColor="text1"/>
          <w:lang w:val="ro-RO"/>
        </w:rPr>
      </w:pPr>
      <w:r w:rsidRPr="00200430">
        <w:rPr>
          <w:color w:val="000000" w:themeColor="text1"/>
          <w:lang w:val="ro-RO"/>
        </w:rPr>
        <w:t xml:space="preserve">Rata de variație a stocului de cauze (raportul dintre cauzele noi înregistrate și cele pendinte la începutul perioadei raportate) constituie </w:t>
      </w:r>
      <w:r w:rsidR="00044362" w:rsidRPr="00044362">
        <w:rPr>
          <w:b/>
          <w:color w:val="000000" w:themeColor="text1"/>
          <w:lang w:val="ro-RO"/>
        </w:rPr>
        <w:t>98,56%</w:t>
      </w:r>
      <w:r w:rsidR="00044362">
        <w:rPr>
          <w:b/>
          <w:color w:val="000000" w:themeColor="text1"/>
          <w:lang w:val="ro-RO"/>
        </w:rPr>
        <w:t>.</w:t>
      </w:r>
    </w:p>
    <w:p w:rsidR="006154EF" w:rsidRPr="00200430" w:rsidRDefault="006154EF" w:rsidP="00850420">
      <w:pPr>
        <w:rPr>
          <w:b/>
          <w:color w:val="000000" w:themeColor="text1"/>
          <w:lang w:val="ro-RO"/>
        </w:rPr>
      </w:pPr>
      <w:r w:rsidRPr="00200430">
        <w:rPr>
          <w:color w:val="000000" w:themeColor="text1"/>
          <w:lang w:val="ro-RO"/>
        </w:rPr>
        <w:t xml:space="preserve">Numărul de cauze penale examinate de un judecător în mediu  constituie </w:t>
      </w:r>
      <w:r w:rsidR="00044362">
        <w:rPr>
          <w:b/>
          <w:color w:val="000000" w:themeColor="text1"/>
          <w:lang w:val="ro-RO"/>
        </w:rPr>
        <w:t xml:space="preserve">3 </w:t>
      </w:r>
      <w:r w:rsidRPr="00200430">
        <w:rPr>
          <w:b/>
          <w:color w:val="000000" w:themeColor="text1"/>
          <w:lang w:val="ro-RO"/>
        </w:rPr>
        <w:t>dosare.</w:t>
      </w:r>
    </w:p>
    <w:p w:rsidR="006154EF" w:rsidRPr="00200430" w:rsidRDefault="006154EF" w:rsidP="00850420">
      <w:pPr>
        <w:rPr>
          <w:color w:val="000000" w:themeColor="text1"/>
          <w:lang w:val="ro-RO"/>
        </w:rPr>
      </w:pPr>
    </w:p>
    <w:p w:rsidR="006154EF" w:rsidRPr="00200430" w:rsidRDefault="006154EF" w:rsidP="00850420">
      <w:pPr>
        <w:rPr>
          <w:color w:val="000000" w:themeColor="text1"/>
          <w:lang w:val="ro-RO"/>
        </w:rPr>
      </w:pPr>
      <w:r w:rsidRPr="00200430">
        <w:rPr>
          <w:color w:val="000000" w:themeColor="text1"/>
          <w:lang w:val="ro-RO"/>
        </w:rPr>
        <w:t xml:space="preserve">În anul 2016 comparativ cu aceeași perioadă a anului 2015 numărul dosarelor pendinte la începutul perioadei raportate a înregistrat  o </w:t>
      </w:r>
      <w:r w:rsidR="003804F5" w:rsidRPr="00200430">
        <w:rPr>
          <w:color w:val="000000" w:themeColor="text1"/>
          <w:lang w:val="ro-RO"/>
        </w:rPr>
        <w:t>scădere</w:t>
      </w:r>
      <w:r w:rsidRPr="00200430">
        <w:rPr>
          <w:color w:val="000000" w:themeColor="text1"/>
          <w:lang w:val="ro-RO"/>
        </w:rPr>
        <w:t xml:space="preserve"> cu 2 dosare.</w:t>
      </w:r>
    </w:p>
    <w:p w:rsidR="006154EF" w:rsidRPr="00200430" w:rsidRDefault="006154EF" w:rsidP="00850420">
      <w:pPr>
        <w:rPr>
          <w:color w:val="000000" w:themeColor="text1"/>
          <w:lang w:val="ro-RO"/>
        </w:rPr>
      </w:pPr>
      <w:r w:rsidRPr="00200430">
        <w:rPr>
          <w:color w:val="000000" w:themeColor="text1"/>
          <w:lang w:val="ro-RO"/>
        </w:rPr>
        <w:t xml:space="preserve">Dosarele noi înregistrate au înregistrat o </w:t>
      </w:r>
      <w:r w:rsidR="003804F5" w:rsidRPr="00200430">
        <w:rPr>
          <w:color w:val="000000" w:themeColor="text1"/>
          <w:lang w:val="ro-RO"/>
        </w:rPr>
        <w:t>crește</w:t>
      </w:r>
      <w:r w:rsidR="00044362">
        <w:rPr>
          <w:color w:val="000000" w:themeColor="text1"/>
          <w:lang w:val="ro-RO"/>
        </w:rPr>
        <w:t>re cu 8 dosare</w:t>
      </w:r>
      <w:r w:rsidRPr="00200430">
        <w:rPr>
          <w:color w:val="000000" w:themeColor="text1"/>
          <w:lang w:val="ro-RO"/>
        </w:rPr>
        <w:t xml:space="preserve">. </w:t>
      </w:r>
    </w:p>
    <w:p w:rsidR="006154EF" w:rsidRPr="00200430" w:rsidRDefault="006154EF" w:rsidP="00850420">
      <w:pPr>
        <w:rPr>
          <w:bCs/>
          <w:color w:val="000000" w:themeColor="text1"/>
          <w:szCs w:val="28"/>
          <w:lang w:val="ro-RO"/>
        </w:rPr>
      </w:pPr>
      <w:r w:rsidRPr="00200430">
        <w:rPr>
          <w:color w:val="000000" w:themeColor="text1"/>
          <w:lang w:val="ro-RO"/>
        </w:rPr>
        <w:t>Cauze soluționate ne indică o creștere cu  1</w:t>
      </w:r>
      <w:r w:rsidR="003804F5" w:rsidRPr="00200430">
        <w:rPr>
          <w:color w:val="000000" w:themeColor="text1"/>
          <w:lang w:val="ro-RO"/>
        </w:rPr>
        <w:t>1</w:t>
      </w:r>
      <w:r w:rsidRPr="00200430">
        <w:rPr>
          <w:color w:val="000000" w:themeColor="text1"/>
          <w:lang w:val="ro-RO"/>
        </w:rPr>
        <w:t xml:space="preserve"> dosare, iar  cele pendinte o scădere cu  </w:t>
      </w:r>
      <w:r w:rsidR="00044362">
        <w:rPr>
          <w:color w:val="000000" w:themeColor="text1"/>
          <w:lang w:val="ro-RO"/>
        </w:rPr>
        <w:t>5</w:t>
      </w:r>
      <w:r w:rsidRPr="00200430">
        <w:rPr>
          <w:color w:val="000000" w:themeColor="text1"/>
          <w:lang w:val="ro-RO"/>
        </w:rPr>
        <w:t xml:space="preserve"> dosare. </w:t>
      </w:r>
    </w:p>
    <w:p w:rsidR="00850420" w:rsidRDefault="00850420" w:rsidP="00C8245D">
      <w:pPr>
        <w:pStyle w:val="a5"/>
        <w:ind w:firstLine="720"/>
        <w:jc w:val="center"/>
        <w:rPr>
          <w:rFonts w:ascii="Times New Roman" w:hAnsi="Times New Roman"/>
          <w:i/>
          <w:color w:val="000000" w:themeColor="text1"/>
          <w:sz w:val="24"/>
          <w:szCs w:val="24"/>
          <w:lang w:val="ro-RO"/>
        </w:rPr>
      </w:pPr>
    </w:p>
    <w:p w:rsidR="006154EF" w:rsidRDefault="006154EF" w:rsidP="00C8245D">
      <w:pPr>
        <w:pStyle w:val="a5"/>
        <w:ind w:firstLine="720"/>
        <w:jc w:val="center"/>
        <w:rPr>
          <w:rFonts w:ascii="Times New Roman" w:hAnsi="Times New Roman"/>
          <w:i/>
          <w:color w:val="000000" w:themeColor="text1"/>
          <w:sz w:val="24"/>
          <w:szCs w:val="24"/>
          <w:lang w:val="ro-RO"/>
        </w:rPr>
      </w:pPr>
      <w:r w:rsidRPr="00200430">
        <w:rPr>
          <w:rFonts w:ascii="Times New Roman" w:hAnsi="Times New Roman"/>
          <w:i/>
          <w:color w:val="000000" w:themeColor="text1"/>
          <w:sz w:val="24"/>
          <w:szCs w:val="24"/>
          <w:lang w:val="ro-RO"/>
        </w:rPr>
        <w:t>Analiza activității comparative în diagramă</w:t>
      </w:r>
    </w:p>
    <w:p w:rsidR="00044362" w:rsidRDefault="00044362" w:rsidP="00C8245D">
      <w:pPr>
        <w:pStyle w:val="a5"/>
        <w:ind w:firstLine="720"/>
        <w:jc w:val="center"/>
        <w:rPr>
          <w:rFonts w:ascii="Times New Roman" w:hAnsi="Times New Roman"/>
          <w:i/>
          <w:color w:val="000000" w:themeColor="text1"/>
          <w:sz w:val="24"/>
          <w:szCs w:val="24"/>
          <w:lang w:val="ro-RO"/>
        </w:rPr>
      </w:pPr>
    </w:p>
    <w:p w:rsidR="00044362" w:rsidRDefault="00044362" w:rsidP="00C8245D">
      <w:pPr>
        <w:pStyle w:val="a5"/>
        <w:ind w:firstLine="720"/>
        <w:jc w:val="center"/>
        <w:rPr>
          <w:rFonts w:ascii="Times New Roman" w:hAnsi="Times New Roman"/>
          <w:i/>
          <w:color w:val="000000" w:themeColor="text1"/>
          <w:sz w:val="24"/>
          <w:szCs w:val="24"/>
          <w:lang w:val="ro-RO"/>
        </w:rPr>
      </w:pPr>
      <w:r>
        <w:rPr>
          <w:noProof/>
          <w:lang w:val="ro-RO" w:eastAsia="ro-RO"/>
        </w:rPr>
        <w:drawing>
          <wp:inline distT="0" distB="0" distL="0" distR="0" wp14:anchorId="5C04AB87" wp14:editId="17C717AB">
            <wp:extent cx="4963583" cy="3206750"/>
            <wp:effectExtent l="0" t="0" r="8890" b="1270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3804F5" w:rsidRDefault="003804F5" w:rsidP="00704F0D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i/>
          <w:color w:val="000000" w:themeColor="text1"/>
          <w:sz w:val="24"/>
          <w:szCs w:val="24"/>
          <w:lang w:val="ro-RO"/>
        </w:rPr>
      </w:pPr>
    </w:p>
    <w:p w:rsidR="00895B4F" w:rsidRPr="00200430" w:rsidRDefault="00895B4F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</w:pPr>
      <w:r w:rsidRPr="00200430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 xml:space="preserve">Datele statistice pe cauzele penale  parvenite spre examinare în ordine de recurs din judecătoriile din </w:t>
      </w:r>
      <w:r w:rsidR="00850420" w:rsidRPr="00200430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>circumscripția</w:t>
      </w:r>
      <w:r w:rsidRPr="00200430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 xml:space="preserve"> </w:t>
      </w:r>
      <w:r w:rsidR="00850420" w:rsidRPr="00200430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>Curții</w:t>
      </w:r>
      <w:r w:rsidRPr="00200430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 xml:space="preserve"> de Apel Cahul și alte instanțe</w:t>
      </w:r>
    </w:p>
    <w:p w:rsidR="00895B4F" w:rsidRPr="00200430" w:rsidRDefault="00895B4F" w:rsidP="00895B4F">
      <w:pPr>
        <w:pStyle w:val="a5"/>
        <w:tabs>
          <w:tab w:val="left" w:pos="142"/>
        </w:tabs>
        <w:ind w:right="-1" w:firstLine="567"/>
        <w:jc w:val="both"/>
        <w:rPr>
          <w:rFonts w:ascii="Times New Roman" w:hAnsi="Times New Roman"/>
          <w:i/>
          <w:color w:val="000000" w:themeColor="text1"/>
          <w:sz w:val="24"/>
          <w:szCs w:val="24"/>
          <w:lang w:val="ro-RO"/>
        </w:rPr>
      </w:pPr>
    </w:p>
    <w:p w:rsidR="00895B4F" w:rsidRPr="00200430" w:rsidRDefault="00895B4F" w:rsidP="00850420">
      <w:pPr>
        <w:rPr>
          <w:lang w:val="ro-RO"/>
        </w:rPr>
      </w:pPr>
      <w:r w:rsidRPr="00200430">
        <w:rPr>
          <w:lang w:val="ro-RO"/>
        </w:rPr>
        <w:t xml:space="preserve">Datele statistice pe </w:t>
      </w:r>
      <w:r w:rsidRPr="00200430">
        <w:rPr>
          <w:i/>
          <w:lang w:val="ro-RO"/>
        </w:rPr>
        <w:t>cauzele penale</w:t>
      </w:r>
      <w:r w:rsidRPr="00200430">
        <w:rPr>
          <w:lang w:val="ro-RO"/>
        </w:rPr>
        <w:t xml:space="preserve">  parvenite spre examinare </w:t>
      </w:r>
      <w:r w:rsidRPr="00200430">
        <w:rPr>
          <w:i/>
          <w:lang w:val="ro-RO"/>
        </w:rPr>
        <w:t>în ordine de recurs</w:t>
      </w:r>
      <w:r w:rsidRPr="00200430">
        <w:rPr>
          <w:lang w:val="ro-RO"/>
        </w:rPr>
        <w:t xml:space="preserve"> din fiecare judecătorie din </w:t>
      </w:r>
      <w:r w:rsidR="00850420" w:rsidRPr="00200430">
        <w:rPr>
          <w:lang w:val="ro-RO"/>
        </w:rPr>
        <w:t>circumscripția</w:t>
      </w:r>
      <w:r w:rsidRPr="00200430">
        <w:rPr>
          <w:lang w:val="ro-RO"/>
        </w:rPr>
        <w:t xml:space="preserve"> </w:t>
      </w:r>
      <w:r w:rsidR="00850420" w:rsidRPr="00200430">
        <w:rPr>
          <w:lang w:val="ro-RO"/>
        </w:rPr>
        <w:t>Curții</w:t>
      </w:r>
      <w:r w:rsidRPr="00200430">
        <w:rPr>
          <w:lang w:val="ro-RO"/>
        </w:rPr>
        <w:t xml:space="preserve"> de Apel Cahul </w:t>
      </w:r>
      <w:r w:rsidR="00850420" w:rsidRPr="00200430">
        <w:rPr>
          <w:lang w:val="ro-RO"/>
        </w:rPr>
        <w:t>și</w:t>
      </w:r>
      <w:r w:rsidRPr="00200430">
        <w:rPr>
          <w:lang w:val="ro-RO"/>
        </w:rPr>
        <w:t xml:space="preserve"> alte instanțe, rezultatele examinării  în perioada </w:t>
      </w:r>
      <w:r w:rsidR="005F0920" w:rsidRPr="00200430">
        <w:rPr>
          <w:lang w:val="ro-RO"/>
        </w:rPr>
        <w:t>6</w:t>
      </w:r>
      <w:r w:rsidRPr="00200430">
        <w:rPr>
          <w:lang w:val="ro-RO"/>
        </w:rPr>
        <w:t xml:space="preserve"> luni a anului 201</w:t>
      </w:r>
      <w:r w:rsidR="002755C2" w:rsidRPr="00200430">
        <w:rPr>
          <w:lang w:val="ro-RO"/>
        </w:rPr>
        <w:t>6</w:t>
      </w:r>
      <w:r w:rsidRPr="00200430">
        <w:rPr>
          <w:lang w:val="ro-RO"/>
        </w:rPr>
        <w:t xml:space="preserve"> sînt următoarele:</w:t>
      </w:r>
    </w:p>
    <w:p w:rsidR="00E6354A" w:rsidRPr="00200430" w:rsidRDefault="00E6354A" w:rsidP="00E6354A">
      <w:pPr>
        <w:pStyle w:val="a5"/>
        <w:tabs>
          <w:tab w:val="left" w:pos="142"/>
        </w:tabs>
        <w:ind w:right="-1"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</w:pPr>
    </w:p>
    <w:p w:rsidR="00E6354A" w:rsidRPr="00200430" w:rsidRDefault="00E6354A" w:rsidP="00850420">
      <w:pPr>
        <w:rPr>
          <w:lang w:val="ro-RO"/>
        </w:rPr>
      </w:pPr>
      <w:r w:rsidRPr="00200430">
        <w:rPr>
          <w:b/>
          <w:u w:val="single"/>
          <w:lang w:val="ro-RO"/>
        </w:rPr>
        <w:t>Judecătoria Cahul</w:t>
      </w:r>
      <w:r w:rsidRPr="00200430">
        <w:rPr>
          <w:lang w:val="ro-RO"/>
        </w:rPr>
        <w:t xml:space="preserve"> – examinate – </w:t>
      </w:r>
      <w:r w:rsidR="002E4DA3">
        <w:rPr>
          <w:b/>
          <w:lang w:val="ro-RO"/>
        </w:rPr>
        <w:t>56</w:t>
      </w:r>
      <w:r w:rsidR="001D03A1">
        <w:rPr>
          <w:lang w:val="ro-RO"/>
        </w:rPr>
        <w:t xml:space="preserve"> cauze, cu 6 cauze</w:t>
      </w:r>
      <w:r w:rsidRPr="00200430">
        <w:rPr>
          <w:lang w:val="ro-RO"/>
        </w:rPr>
        <w:t xml:space="preserve"> mai mult ca și în aceeași perioada  a anului 2015, din care : </w:t>
      </w:r>
    </w:p>
    <w:p w:rsidR="00E6354A" w:rsidRPr="00850420" w:rsidRDefault="00E6354A" w:rsidP="00850420">
      <w:pPr>
        <w:pStyle w:val="ac"/>
        <w:numPr>
          <w:ilvl w:val="0"/>
          <w:numId w:val="35"/>
        </w:numPr>
        <w:rPr>
          <w:rFonts w:ascii="Times New Roman" w:hAnsi="Times New Roman"/>
          <w:lang w:val="ro-RO"/>
        </w:rPr>
      </w:pPr>
      <w:r w:rsidRPr="00850420">
        <w:rPr>
          <w:rFonts w:ascii="Times New Roman" w:hAnsi="Times New Roman"/>
          <w:lang w:val="ro-RO"/>
        </w:rPr>
        <w:t xml:space="preserve">menținute fără modificări – </w:t>
      </w:r>
      <w:r w:rsidR="002E4DA3" w:rsidRPr="00850420">
        <w:rPr>
          <w:rFonts w:ascii="Times New Roman" w:hAnsi="Times New Roman"/>
          <w:b/>
          <w:lang w:val="ro-RO"/>
        </w:rPr>
        <w:t>40</w:t>
      </w:r>
      <w:r w:rsidR="003718CC" w:rsidRPr="00850420">
        <w:rPr>
          <w:rFonts w:ascii="Times New Roman" w:hAnsi="Times New Roman"/>
          <w:b/>
          <w:lang w:val="ro-RO"/>
        </w:rPr>
        <w:t xml:space="preserve"> </w:t>
      </w:r>
      <w:r w:rsidR="003718CC" w:rsidRPr="00850420">
        <w:rPr>
          <w:rFonts w:ascii="Times New Roman" w:hAnsi="Times New Roman"/>
          <w:lang w:val="ro-RO"/>
        </w:rPr>
        <w:t>cauze</w:t>
      </w:r>
      <w:r w:rsidR="002E4DA3" w:rsidRPr="00850420">
        <w:rPr>
          <w:rFonts w:ascii="Times New Roman" w:hAnsi="Times New Roman"/>
          <w:lang w:val="ro-RO"/>
        </w:rPr>
        <w:t xml:space="preserve"> </w:t>
      </w:r>
      <w:r w:rsidRPr="00850420">
        <w:rPr>
          <w:rFonts w:ascii="Times New Roman" w:hAnsi="Times New Roman"/>
          <w:lang w:val="ro-RO"/>
        </w:rPr>
        <w:t>(</w:t>
      </w:r>
      <w:r w:rsidR="001D03A1" w:rsidRPr="00850420">
        <w:rPr>
          <w:rFonts w:ascii="Times New Roman" w:hAnsi="Times New Roman"/>
          <w:lang w:val="ro-RO"/>
        </w:rPr>
        <w:t>71,43</w:t>
      </w:r>
      <w:r w:rsidRPr="00850420">
        <w:rPr>
          <w:rFonts w:ascii="Times New Roman" w:hAnsi="Times New Roman"/>
          <w:lang w:val="ro-RO"/>
        </w:rPr>
        <w:t>%), cu 1 cauză mai mult ca în aceeași perioadă a anului 2015.</w:t>
      </w:r>
    </w:p>
    <w:p w:rsidR="001D03A1" w:rsidRPr="00850420" w:rsidRDefault="00E6354A" w:rsidP="00850420">
      <w:pPr>
        <w:pStyle w:val="ac"/>
        <w:numPr>
          <w:ilvl w:val="0"/>
          <w:numId w:val="35"/>
        </w:numPr>
        <w:rPr>
          <w:rFonts w:ascii="Times New Roman" w:hAnsi="Times New Roman"/>
          <w:lang w:val="ro-RO"/>
        </w:rPr>
      </w:pPr>
      <w:r w:rsidRPr="00850420">
        <w:rPr>
          <w:rFonts w:ascii="Times New Roman" w:hAnsi="Times New Roman"/>
          <w:lang w:val="ro-RO"/>
        </w:rPr>
        <w:t xml:space="preserve">casate cu </w:t>
      </w:r>
      <w:r w:rsidR="00850420" w:rsidRPr="00850420">
        <w:rPr>
          <w:rFonts w:ascii="Times New Roman" w:hAnsi="Times New Roman"/>
          <w:lang w:val="ro-RO"/>
        </w:rPr>
        <w:t>pronunțarea</w:t>
      </w:r>
      <w:r w:rsidRPr="00850420">
        <w:rPr>
          <w:rFonts w:ascii="Times New Roman" w:hAnsi="Times New Roman"/>
          <w:lang w:val="ro-RO"/>
        </w:rPr>
        <w:t xml:space="preserve"> unei noi hotărîri – </w:t>
      </w:r>
      <w:r w:rsidR="002E4DA3" w:rsidRPr="00850420">
        <w:rPr>
          <w:rFonts w:ascii="Times New Roman" w:hAnsi="Times New Roman"/>
          <w:b/>
          <w:lang w:val="ro-RO"/>
        </w:rPr>
        <w:t xml:space="preserve">16 </w:t>
      </w:r>
      <w:r w:rsidRPr="00850420">
        <w:rPr>
          <w:rFonts w:ascii="Times New Roman" w:hAnsi="Times New Roman"/>
          <w:lang w:val="ro-RO"/>
        </w:rPr>
        <w:t>(</w:t>
      </w:r>
      <w:r w:rsidR="001D03A1" w:rsidRPr="00850420">
        <w:rPr>
          <w:rFonts w:ascii="Times New Roman" w:hAnsi="Times New Roman"/>
          <w:lang w:val="ro-RO"/>
        </w:rPr>
        <w:t>28,57</w:t>
      </w:r>
      <w:r w:rsidRPr="00850420">
        <w:rPr>
          <w:rFonts w:ascii="Times New Roman" w:hAnsi="Times New Roman"/>
          <w:lang w:val="ro-RO"/>
        </w:rPr>
        <w:t xml:space="preserve"> %), </w:t>
      </w:r>
      <w:r w:rsidR="001D03A1" w:rsidRPr="00850420">
        <w:rPr>
          <w:rFonts w:ascii="Times New Roman" w:hAnsi="Times New Roman"/>
          <w:lang w:val="ro-RO"/>
        </w:rPr>
        <w:t>cu 5 cauze mai mult ca în aceeași perioadă a anului 2015.</w:t>
      </w:r>
    </w:p>
    <w:p w:rsidR="00E6354A" w:rsidRPr="00200430" w:rsidRDefault="00E6354A" w:rsidP="00850420">
      <w:pPr>
        <w:rPr>
          <w:i/>
          <w:lang w:val="ro-RO"/>
        </w:rPr>
      </w:pPr>
    </w:p>
    <w:p w:rsidR="00E6354A" w:rsidRPr="00200430" w:rsidRDefault="00E6354A" w:rsidP="00850420">
      <w:pPr>
        <w:rPr>
          <w:lang w:val="ro-RO"/>
        </w:rPr>
      </w:pPr>
      <w:r w:rsidRPr="00200430">
        <w:rPr>
          <w:b/>
          <w:u w:val="single"/>
          <w:lang w:val="ro-RO"/>
        </w:rPr>
        <w:t xml:space="preserve">Judecătoria Leova </w:t>
      </w:r>
      <w:r w:rsidRPr="00200430">
        <w:rPr>
          <w:lang w:val="ro-RO"/>
        </w:rPr>
        <w:t>– examinate –</w:t>
      </w:r>
      <w:r w:rsidR="002E4DA3">
        <w:rPr>
          <w:b/>
          <w:lang w:val="ro-RO"/>
        </w:rPr>
        <w:t xml:space="preserve"> 13</w:t>
      </w:r>
      <w:r w:rsidRPr="00200430">
        <w:rPr>
          <w:lang w:val="ro-RO"/>
        </w:rPr>
        <w:t xml:space="preserve"> cauze,  cu </w:t>
      </w:r>
      <w:r w:rsidR="001D03A1">
        <w:rPr>
          <w:lang w:val="ro-RO"/>
        </w:rPr>
        <w:t>5</w:t>
      </w:r>
      <w:r w:rsidRPr="00200430">
        <w:rPr>
          <w:lang w:val="ro-RO"/>
        </w:rPr>
        <w:t xml:space="preserve"> cauze mai puțin ca în </w:t>
      </w:r>
      <w:r w:rsidR="00850420" w:rsidRPr="00200430">
        <w:rPr>
          <w:lang w:val="ro-RO"/>
        </w:rPr>
        <w:t>aceeași</w:t>
      </w:r>
      <w:r w:rsidRPr="00200430">
        <w:rPr>
          <w:lang w:val="ro-RO"/>
        </w:rPr>
        <w:t xml:space="preserve"> perioadă a anului 2015, din care:</w:t>
      </w:r>
    </w:p>
    <w:p w:rsidR="00E6354A" w:rsidRPr="00850420" w:rsidRDefault="002E4DA3" w:rsidP="00850420">
      <w:pPr>
        <w:pStyle w:val="ac"/>
        <w:numPr>
          <w:ilvl w:val="0"/>
          <w:numId w:val="35"/>
        </w:numPr>
        <w:rPr>
          <w:rFonts w:ascii="Times New Roman" w:hAnsi="Times New Roman"/>
          <w:lang w:val="ro-RO"/>
        </w:rPr>
      </w:pPr>
      <w:r w:rsidRPr="00850420">
        <w:rPr>
          <w:rFonts w:ascii="Times New Roman" w:hAnsi="Times New Roman"/>
          <w:lang w:val="ro-RO"/>
        </w:rPr>
        <w:t xml:space="preserve">menținute fără modificări – </w:t>
      </w:r>
      <w:r w:rsidRPr="00850420">
        <w:rPr>
          <w:rFonts w:ascii="Times New Roman" w:hAnsi="Times New Roman"/>
          <w:b/>
          <w:lang w:val="ro-RO"/>
        </w:rPr>
        <w:t>7</w:t>
      </w:r>
      <w:r w:rsidR="00E6354A" w:rsidRPr="00850420">
        <w:rPr>
          <w:rFonts w:ascii="Times New Roman" w:hAnsi="Times New Roman"/>
          <w:lang w:val="ro-RO"/>
        </w:rPr>
        <w:t xml:space="preserve"> </w:t>
      </w:r>
      <w:r w:rsidR="003718CC" w:rsidRPr="00850420">
        <w:rPr>
          <w:rFonts w:ascii="Times New Roman" w:hAnsi="Times New Roman"/>
          <w:lang w:val="ro-RO"/>
        </w:rPr>
        <w:t xml:space="preserve">cauze </w:t>
      </w:r>
      <w:r w:rsidR="00E6354A" w:rsidRPr="00850420">
        <w:rPr>
          <w:rFonts w:ascii="Times New Roman" w:hAnsi="Times New Roman"/>
          <w:lang w:val="ro-RO"/>
        </w:rPr>
        <w:t>(</w:t>
      </w:r>
      <w:r w:rsidR="001D03A1" w:rsidRPr="00850420">
        <w:rPr>
          <w:rFonts w:ascii="Times New Roman" w:hAnsi="Times New Roman"/>
          <w:lang w:val="ro-RO"/>
        </w:rPr>
        <w:t>53,85 %), cu 4</w:t>
      </w:r>
      <w:r w:rsidR="00E6354A" w:rsidRPr="00850420">
        <w:rPr>
          <w:rFonts w:ascii="Times New Roman" w:hAnsi="Times New Roman"/>
          <w:lang w:val="ro-RO"/>
        </w:rPr>
        <w:t xml:space="preserve"> cauză mai </w:t>
      </w:r>
      <w:r w:rsidR="001D03A1" w:rsidRPr="00850420">
        <w:rPr>
          <w:rFonts w:ascii="Times New Roman" w:hAnsi="Times New Roman"/>
          <w:lang w:val="ro-RO"/>
        </w:rPr>
        <w:t xml:space="preserve">puțin </w:t>
      </w:r>
      <w:r w:rsidR="00E6354A" w:rsidRPr="00850420">
        <w:rPr>
          <w:rFonts w:ascii="Times New Roman" w:hAnsi="Times New Roman"/>
          <w:lang w:val="ro-RO"/>
        </w:rPr>
        <w:t xml:space="preserve">ca în </w:t>
      </w:r>
      <w:r w:rsidR="00850420" w:rsidRPr="00850420">
        <w:rPr>
          <w:rFonts w:ascii="Times New Roman" w:hAnsi="Times New Roman"/>
          <w:lang w:val="ro-RO"/>
        </w:rPr>
        <w:t>aceeași</w:t>
      </w:r>
      <w:r w:rsidR="00E6354A" w:rsidRPr="00850420">
        <w:rPr>
          <w:rFonts w:ascii="Times New Roman" w:hAnsi="Times New Roman"/>
          <w:lang w:val="ro-RO"/>
        </w:rPr>
        <w:t xml:space="preserve"> perioadă a anului 2015,</w:t>
      </w:r>
    </w:p>
    <w:p w:rsidR="00E6354A" w:rsidRPr="00850420" w:rsidRDefault="00E6354A" w:rsidP="00850420">
      <w:pPr>
        <w:pStyle w:val="ac"/>
        <w:numPr>
          <w:ilvl w:val="0"/>
          <w:numId w:val="35"/>
        </w:numPr>
        <w:rPr>
          <w:rFonts w:ascii="Times New Roman" w:hAnsi="Times New Roman"/>
          <w:lang w:val="ro-RO"/>
        </w:rPr>
      </w:pPr>
      <w:r w:rsidRPr="00850420">
        <w:rPr>
          <w:rFonts w:ascii="Times New Roman" w:hAnsi="Times New Roman"/>
          <w:lang w:val="ro-RO"/>
        </w:rPr>
        <w:t xml:space="preserve">casate cu </w:t>
      </w:r>
      <w:r w:rsidR="00850420" w:rsidRPr="00850420">
        <w:rPr>
          <w:rFonts w:ascii="Times New Roman" w:hAnsi="Times New Roman"/>
          <w:lang w:val="ro-RO"/>
        </w:rPr>
        <w:t>pronunțarea</w:t>
      </w:r>
      <w:r w:rsidRPr="00850420">
        <w:rPr>
          <w:rFonts w:ascii="Times New Roman" w:hAnsi="Times New Roman"/>
          <w:lang w:val="ro-RO"/>
        </w:rPr>
        <w:t xml:space="preserve"> unei noi hotărîri –</w:t>
      </w:r>
      <w:r w:rsidR="002E4DA3" w:rsidRPr="00850420">
        <w:rPr>
          <w:rFonts w:ascii="Times New Roman" w:hAnsi="Times New Roman"/>
          <w:lang w:val="ro-RO"/>
        </w:rPr>
        <w:t xml:space="preserve"> </w:t>
      </w:r>
      <w:r w:rsidR="002E4DA3" w:rsidRPr="00850420">
        <w:rPr>
          <w:rFonts w:ascii="Times New Roman" w:hAnsi="Times New Roman"/>
          <w:b/>
          <w:lang w:val="ro-RO"/>
        </w:rPr>
        <w:t xml:space="preserve">6 </w:t>
      </w:r>
      <w:r w:rsidRPr="00850420">
        <w:rPr>
          <w:rFonts w:ascii="Times New Roman" w:hAnsi="Times New Roman"/>
          <w:lang w:val="ro-RO"/>
        </w:rPr>
        <w:t>(</w:t>
      </w:r>
      <w:r w:rsidR="001D03A1" w:rsidRPr="00850420">
        <w:rPr>
          <w:rFonts w:ascii="Times New Roman" w:hAnsi="Times New Roman"/>
          <w:lang w:val="ro-RO"/>
        </w:rPr>
        <w:t>46,15</w:t>
      </w:r>
      <w:r w:rsidRPr="00850420">
        <w:rPr>
          <w:rFonts w:ascii="Times New Roman" w:hAnsi="Times New Roman"/>
          <w:lang w:val="ro-RO"/>
        </w:rPr>
        <w:t xml:space="preserve"> %), cu </w:t>
      </w:r>
      <w:r w:rsidR="007A042E" w:rsidRPr="00850420">
        <w:rPr>
          <w:rFonts w:ascii="Times New Roman" w:hAnsi="Times New Roman"/>
          <w:lang w:val="ro-RO"/>
        </w:rPr>
        <w:t>1 cauză</w:t>
      </w:r>
      <w:r w:rsidRPr="00850420">
        <w:rPr>
          <w:rFonts w:ascii="Times New Roman" w:hAnsi="Times New Roman"/>
          <w:lang w:val="ro-RO"/>
        </w:rPr>
        <w:t xml:space="preserve"> mai </w:t>
      </w:r>
      <w:r w:rsidR="001D03A1" w:rsidRPr="00850420">
        <w:rPr>
          <w:rFonts w:ascii="Times New Roman" w:hAnsi="Times New Roman"/>
          <w:lang w:val="ro-RO"/>
        </w:rPr>
        <w:t xml:space="preserve">puțin </w:t>
      </w:r>
      <w:r w:rsidRPr="00850420">
        <w:rPr>
          <w:rFonts w:ascii="Times New Roman" w:hAnsi="Times New Roman"/>
          <w:lang w:val="ro-RO"/>
        </w:rPr>
        <w:t xml:space="preserve">ca în </w:t>
      </w:r>
      <w:r w:rsidR="00850420" w:rsidRPr="00850420">
        <w:rPr>
          <w:rFonts w:ascii="Times New Roman" w:hAnsi="Times New Roman"/>
          <w:lang w:val="ro-RO"/>
        </w:rPr>
        <w:t>aceeași</w:t>
      </w:r>
      <w:r w:rsidRPr="00850420">
        <w:rPr>
          <w:rFonts w:ascii="Times New Roman" w:hAnsi="Times New Roman"/>
          <w:lang w:val="ro-RO"/>
        </w:rPr>
        <w:t xml:space="preserve"> perioadă a anului 2015.</w:t>
      </w:r>
    </w:p>
    <w:p w:rsidR="00E6354A" w:rsidRPr="00200430" w:rsidRDefault="00E6354A" w:rsidP="00850420">
      <w:pPr>
        <w:rPr>
          <w:lang w:val="ro-RO"/>
        </w:rPr>
      </w:pPr>
    </w:p>
    <w:p w:rsidR="007A042E" w:rsidRDefault="00E6354A" w:rsidP="00850420">
      <w:pPr>
        <w:rPr>
          <w:lang w:val="ro-RO"/>
        </w:rPr>
      </w:pPr>
      <w:r w:rsidRPr="00200430">
        <w:rPr>
          <w:b/>
          <w:u w:val="single"/>
          <w:lang w:val="ro-RO"/>
        </w:rPr>
        <w:t>Judecătoria Cantemir</w:t>
      </w:r>
      <w:r w:rsidRPr="00200430">
        <w:rPr>
          <w:lang w:val="ro-RO"/>
        </w:rPr>
        <w:t xml:space="preserve"> – examinate – </w:t>
      </w:r>
      <w:r w:rsidR="003718CC">
        <w:rPr>
          <w:b/>
          <w:lang w:val="ro-RO"/>
        </w:rPr>
        <w:t xml:space="preserve">29 </w:t>
      </w:r>
      <w:r w:rsidRPr="00200430">
        <w:rPr>
          <w:lang w:val="ro-RO"/>
        </w:rPr>
        <w:t xml:space="preserve">cauze, </w:t>
      </w:r>
      <w:r w:rsidR="00E8721B" w:rsidRPr="00200430">
        <w:rPr>
          <w:lang w:val="ro-RO"/>
        </w:rPr>
        <w:t>cu 1</w:t>
      </w:r>
      <w:r w:rsidR="007A042E">
        <w:rPr>
          <w:lang w:val="ro-RO"/>
        </w:rPr>
        <w:t xml:space="preserve">0 </w:t>
      </w:r>
      <w:r w:rsidR="00E8721B" w:rsidRPr="00200430">
        <w:rPr>
          <w:lang w:val="ro-RO"/>
        </w:rPr>
        <w:t xml:space="preserve">cauze mai mult ca </w:t>
      </w:r>
      <w:r w:rsidRPr="00200430">
        <w:rPr>
          <w:lang w:val="ro-RO"/>
        </w:rPr>
        <w:t>în aceeași perio</w:t>
      </w:r>
      <w:r w:rsidR="007A042E">
        <w:rPr>
          <w:lang w:val="ro-RO"/>
        </w:rPr>
        <w:t xml:space="preserve">ada  a anului 2015, din care : </w:t>
      </w:r>
    </w:p>
    <w:p w:rsidR="00E6354A" w:rsidRPr="00850420" w:rsidRDefault="00E6354A" w:rsidP="00850420">
      <w:pPr>
        <w:pStyle w:val="ac"/>
        <w:numPr>
          <w:ilvl w:val="0"/>
          <w:numId w:val="35"/>
        </w:numPr>
        <w:rPr>
          <w:rFonts w:ascii="Times New Roman" w:hAnsi="Times New Roman"/>
          <w:lang w:val="ro-RO"/>
        </w:rPr>
      </w:pPr>
      <w:r w:rsidRPr="00850420">
        <w:rPr>
          <w:rFonts w:ascii="Times New Roman" w:hAnsi="Times New Roman"/>
          <w:lang w:val="ro-RO"/>
        </w:rPr>
        <w:t>menținute fără modificări –</w:t>
      </w:r>
      <w:r w:rsidR="003718CC" w:rsidRPr="00850420">
        <w:rPr>
          <w:rFonts w:ascii="Times New Roman" w:hAnsi="Times New Roman"/>
          <w:lang w:val="ro-RO"/>
        </w:rPr>
        <w:t xml:space="preserve"> </w:t>
      </w:r>
      <w:r w:rsidR="003718CC" w:rsidRPr="00850420">
        <w:rPr>
          <w:rFonts w:ascii="Times New Roman" w:hAnsi="Times New Roman"/>
          <w:b/>
          <w:lang w:val="ro-RO"/>
        </w:rPr>
        <w:t xml:space="preserve">14 </w:t>
      </w:r>
      <w:r w:rsidR="003718CC" w:rsidRPr="00850420">
        <w:rPr>
          <w:rFonts w:ascii="Times New Roman" w:hAnsi="Times New Roman"/>
          <w:lang w:val="ro-RO"/>
        </w:rPr>
        <w:t xml:space="preserve">cauze </w:t>
      </w:r>
      <w:r w:rsidRPr="00850420">
        <w:rPr>
          <w:rFonts w:ascii="Times New Roman" w:hAnsi="Times New Roman"/>
          <w:lang w:val="ro-RO"/>
        </w:rPr>
        <w:t>(</w:t>
      </w:r>
      <w:r w:rsidR="001D03A1" w:rsidRPr="00850420">
        <w:rPr>
          <w:rFonts w:ascii="Times New Roman" w:hAnsi="Times New Roman"/>
          <w:lang w:val="ro-RO"/>
        </w:rPr>
        <w:t>48,28</w:t>
      </w:r>
      <w:r w:rsidRPr="00850420">
        <w:rPr>
          <w:rFonts w:ascii="Times New Roman" w:hAnsi="Times New Roman"/>
          <w:lang w:val="ro-RO"/>
        </w:rPr>
        <w:t xml:space="preserve">%), cu </w:t>
      </w:r>
      <w:r w:rsidR="00E8721B" w:rsidRPr="00850420">
        <w:rPr>
          <w:rFonts w:ascii="Times New Roman" w:hAnsi="Times New Roman"/>
          <w:lang w:val="ro-RO"/>
        </w:rPr>
        <w:t>3</w:t>
      </w:r>
      <w:r w:rsidRPr="00850420">
        <w:rPr>
          <w:rFonts w:ascii="Times New Roman" w:hAnsi="Times New Roman"/>
          <w:lang w:val="ro-RO"/>
        </w:rPr>
        <w:t xml:space="preserve"> cauze mai </w:t>
      </w:r>
      <w:r w:rsidR="00E8721B" w:rsidRPr="00850420">
        <w:rPr>
          <w:rFonts w:ascii="Times New Roman" w:hAnsi="Times New Roman"/>
          <w:lang w:val="ro-RO"/>
        </w:rPr>
        <w:t>mult</w:t>
      </w:r>
      <w:r w:rsidRPr="00850420">
        <w:rPr>
          <w:rFonts w:ascii="Times New Roman" w:hAnsi="Times New Roman"/>
          <w:lang w:val="ro-RO"/>
        </w:rPr>
        <w:t xml:space="preserve"> ca în </w:t>
      </w:r>
      <w:r w:rsidR="00850420" w:rsidRPr="00850420">
        <w:rPr>
          <w:rFonts w:ascii="Times New Roman" w:hAnsi="Times New Roman"/>
          <w:lang w:val="ro-RO"/>
        </w:rPr>
        <w:t>aceeași</w:t>
      </w:r>
      <w:r w:rsidRPr="00850420">
        <w:rPr>
          <w:rFonts w:ascii="Times New Roman" w:hAnsi="Times New Roman"/>
          <w:lang w:val="ro-RO"/>
        </w:rPr>
        <w:t xml:space="preserve"> perioadă a anului 2015,</w:t>
      </w:r>
    </w:p>
    <w:p w:rsidR="00E6354A" w:rsidRPr="00850420" w:rsidRDefault="00E6354A" w:rsidP="00850420">
      <w:pPr>
        <w:pStyle w:val="ac"/>
        <w:numPr>
          <w:ilvl w:val="0"/>
          <w:numId w:val="35"/>
        </w:numPr>
        <w:rPr>
          <w:rFonts w:ascii="Times New Roman" w:hAnsi="Times New Roman"/>
          <w:lang w:val="ro-RO"/>
        </w:rPr>
      </w:pPr>
      <w:r w:rsidRPr="00850420">
        <w:rPr>
          <w:rFonts w:ascii="Times New Roman" w:hAnsi="Times New Roman"/>
          <w:lang w:val="ro-RO"/>
        </w:rPr>
        <w:t xml:space="preserve">casate cu </w:t>
      </w:r>
      <w:r w:rsidR="00850420" w:rsidRPr="00850420">
        <w:rPr>
          <w:rFonts w:ascii="Times New Roman" w:hAnsi="Times New Roman"/>
          <w:lang w:val="ro-RO"/>
        </w:rPr>
        <w:t>pronunțarea</w:t>
      </w:r>
      <w:r w:rsidRPr="00850420">
        <w:rPr>
          <w:rFonts w:ascii="Times New Roman" w:hAnsi="Times New Roman"/>
          <w:lang w:val="ro-RO"/>
        </w:rPr>
        <w:t xml:space="preserve"> unei noi hotărîri –</w:t>
      </w:r>
      <w:r w:rsidR="003718CC" w:rsidRPr="00850420">
        <w:rPr>
          <w:rFonts w:ascii="Times New Roman" w:hAnsi="Times New Roman"/>
          <w:b/>
          <w:lang w:val="ro-RO"/>
        </w:rPr>
        <w:t xml:space="preserve"> 15</w:t>
      </w:r>
      <w:r w:rsidR="007A042E" w:rsidRPr="00850420">
        <w:rPr>
          <w:rFonts w:ascii="Times New Roman" w:hAnsi="Times New Roman"/>
          <w:b/>
          <w:lang w:val="ro-RO"/>
        </w:rPr>
        <w:t xml:space="preserve"> </w:t>
      </w:r>
      <w:r w:rsidR="007A042E" w:rsidRPr="00850420">
        <w:rPr>
          <w:rFonts w:ascii="Times New Roman" w:hAnsi="Times New Roman"/>
          <w:lang w:val="ro-RO"/>
        </w:rPr>
        <w:t>cauze</w:t>
      </w:r>
      <w:r w:rsidR="00E8721B" w:rsidRPr="00850420">
        <w:rPr>
          <w:rFonts w:ascii="Times New Roman" w:hAnsi="Times New Roman"/>
          <w:lang w:val="ro-RO"/>
        </w:rPr>
        <w:t xml:space="preserve"> </w:t>
      </w:r>
      <w:r w:rsidRPr="00850420">
        <w:rPr>
          <w:rFonts w:ascii="Times New Roman" w:hAnsi="Times New Roman"/>
          <w:lang w:val="ro-RO"/>
        </w:rPr>
        <w:t>(</w:t>
      </w:r>
      <w:r w:rsidR="001D03A1" w:rsidRPr="00850420">
        <w:rPr>
          <w:rFonts w:ascii="Times New Roman" w:hAnsi="Times New Roman"/>
          <w:lang w:val="ro-RO"/>
        </w:rPr>
        <w:t>51,72</w:t>
      </w:r>
      <w:r w:rsidRPr="00850420">
        <w:rPr>
          <w:rFonts w:ascii="Times New Roman" w:hAnsi="Times New Roman"/>
          <w:lang w:val="ro-RO"/>
        </w:rPr>
        <w:t xml:space="preserve"> %) , cu </w:t>
      </w:r>
      <w:r w:rsidR="00E8721B" w:rsidRPr="00850420">
        <w:rPr>
          <w:rFonts w:ascii="Times New Roman" w:hAnsi="Times New Roman"/>
          <w:b/>
          <w:lang w:val="ro-RO"/>
        </w:rPr>
        <w:t>7</w:t>
      </w:r>
      <w:r w:rsidRPr="00850420">
        <w:rPr>
          <w:rFonts w:ascii="Times New Roman" w:hAnsi="Times New Roman"/>
          <w:lang w:val="ro-RO"/>
        </w:rPr>
        <w:t xml:space="preserve"> cauze mai mult ca în </w:t>
      </w:r>
      <w:r w:rsidR="00850420" w:rsidRPr="00850420">
        <w:rPr>
          <w:rFonts w:ascii="Times New Roman" w:hAnsi="Times New Roman"/>
          <w:lang w:val="ro-RO"/>
        </w:rPr>
        <w:t>aceeași</w:t>
      </w:r>
      <w:r w:rsidRPr="00850420">
        <w:rPr>
          <w:rFonts w:ascii="Times New Roman" w:hAnsi="Times New Roman"/>
          <w:lang w:val="ro-RO"/>
        </w:rPr>
        <w:t xml:space="preserve"> perioadă a anului 2015.</w:t>
      </w:r>
    </w:p>
    <w:p w:rsidR="00E6354A" w:rsidRPr="00200430" w:rsidRDefault="00E6354A" w:rsidP="00850420">
      <w:pPr>
        <w:rPr>
          <w:lang w:val="ro-RO"/>
        </w:rPr>
      </w:pPr>
    </w:p>
    <w:p w:rsidR="00E6354A" w:rsidRPr="00200430" w:rsidRDefault="00E6354A" w:rsidP="00850420">
      <w:pPr>
        <w:rPr>
          <w:lang w:val="ro-RO"/>
        </w:rPr>
      </w:pPr>
      <w:r w:rsidRPr="00200430">
        <w:rPr>
          <w:b/>
          <w:u w:val="single"/>
          <w:lang w:val="ro-RO"/>
        </w:rPr>
        <w:t xml:space="preserve">Judecătoria Taraclia </w:t>
      </w:r>
      <w:r w:rsidRPr="00200430">
        <w:rPr>
          <w:lang w:val="ro-RO"/>
        </w:rPr>
        <w:t>– examinate –</w:t>
      </w:r>
      <w:r w:rsidR="003718CC">
        <w:rPr>
          <w:b/>
          <w:lang w:val="ro-RO"/>
        </w:rPr>
        <w:t xml:space="preserve"> 22 </w:t>
      </w:r>
      <w:r w:rsidRPr="00200430">
        <w:rPr>
          <w:lang w:val="ro-RO"/>
        </w:rPr>
        <w:t xml:space="preserve">cauze, cu </w:t>
      </w:r>
      <w:r w:rsidR="007A042E">
        <w:rPr>
          <w:lang w:val="ro-RO"/>
        </w:rPr>
        <w:t>8</w:t>
      </w:r>
      <w:r w:rsidRPr="00200430">
        <w:rPr>
          <w:lang w:val="ro-RO"/>
        </w:rPr>
        <w:t xml:space="preserve"> cauze mai </w:t>
      </w:r>
      <w:r w:rsidR="00E8721B" w:rsidRPr="00200430">
        <w:rPr>
          <w:lang w:val="ro-RO"/>
        </w:rPr>
        <w:t>mult</w:t>
      </w:r>
      <w:r w:rsidRPr="00200430">
        <w:rPr>
          <w:lang w:val="ro-RO"/>
        </w:rPr>
        <w:t xml:space="preserve"> ca în </w:t>
      </w:r>
      <w:r w:rsidR="00850420" w:rsidRPr="00200430">
        <w:rPr>
          <w:lang w:val="ro-RO"/>
        </w:rPr>
        <w:t>aceeași</w:t>
      </w:r>
      <w:r w:rsidRPr="00200430">
        <w:rPr>
          <w:lang w:val="ro-RO"/>
        </w:rPr>
        <w:t xml:space="preserve"> perioadă a anului 2015, din care:</w:t>
      </w:r>
    </w:p>
    <w:p w:rsidR="007A042E" w:rsidRPr="00850420" w:rsidRDefault="00E6354A" w:rsidP="00850420">
      <w:pPr>
        <w:pStyle w:val="ac"/>
        <w:numPr>
          <w:ilvl w:val="0"/>
          <w:numId w:val="35"/>
        </w:numPr>
        <w:rPr>
          <w:rFonts w:ascii="Times New Roman" w:hAnsi="Times New Roman"/>
          <w:lang w:val="ro-RO"/>
        </w:rPr>
      </w:pPr>
      <w:r w:rsidRPr="00850420">
        <w:rPr>
          <w:rFonts w:ascii="Times New Roman" w:hAnsi="Times New Roman"/>
          <w:lang w:val="ro-RO"/>
        </w:rPr>
        <w:t>menținute fără modificări –</w:t>
      </w:r>
      <w:r w:rsidR="003718CC" w:rsidRPr="00850420">
        <w:rPr>
          <w:rFonts w:ascii="Times New Roman" w:hAnsi="Times New Roman"/>
          <w:b/>
          <w:lang w:val="ro-RO"/>
        </w:rPr>
        <w:t xml:space="preserve"> 18</w:t>
      </w:r>
      <w:r w:rsidR="00E8721B" w:rsidRPr="00850420">
        <w:rPr>
          <w:rFonts w:ascii="Times New Roman" w:hAnsi="Times New Roman"/>
          <w:lang w:val="ro-RO"/>
        </w:rPr>
        <w:t xml:space="preserve"> </w:t>
      </w:r>
      <w:r w:rsidR="003718CC" w:rsidRPr="00850420">
        <w:rPr>
          <w:rFonts w:ascii="Times New Roman" w:hAnsi="Times New Roman"/>
          <w:lang w:val="ro-RO"/>
        </w:rPr>
        <w:t>cauze</w:t>
      </w:r>
      <w:r w:rsidR="003718CC" w:rsidRPr="00850420">
        <w:rPr>
          <w:rFonts w:ascii="Times New Roman" w:hAnsi="Times New Roman"/>
          <w:b/>
          <w:lang w:val="ro-RO"/>
        </w:rPr>
        <w:t xml:space="preserve"> </w:t>
      </w:r>
      <w:r w:rsidRPr="00850420">
        <w:rPr>
          <w:rFonts w:ascii="Times New Roman" w:hAnsi="Times New Roman"/>
          <w:lang w:val="ro-RO"/>
        </w:rPr>
        <w:t>(</w:t>
      </w:r>
      <w:r w:rsidR="001D03A1" w:rsidRPr="00850420">
        <w:rPr>
          <w:rFonts w:ascii="Times New Roman" w:hAnsi="Times New Roman"/>
          <w:lang w:val="ro-RO"/>
        </w:rPr>
        <w:t>81,82</w:t>
      </w:r>
      <w:r w:rsidRPr="00850420">
        <w:rPr>
          <w:rFonts w:ascii="Times New Roman" w:hAnsi="Times New Roman"/>
          <w:lang w:val="ro-RO"/>
        </w:rPr>
        <w:t xml:space="preserve"> %), cu </w:t>
      </w:r>
      <w:r w:rsidR="007A042E" w:rsidRPr="00850420">
        <w:rPr>
          <w:rFonts w:ascii="Times New Roman" w:hAnsi="Times New Roman"/>
          <w:lang w:val="ro-RO"/>
        </w:rPr>
        <w:t>8</w:t>
      </w:r>
      <w:r w:rsidRPr="00850420">
        <w:rPr>
          <w:rFonts w:ascii="Times New Roman" w:hAnsi="Times New Roman"/>
          <w:lang w:val="ro-RO"/>
        </w:rPr>
        <w:t xml:space="preserve"> cauze mai mult ca în </w:t>
      </w:r>
      <w:r w:rsidR="00850420" w:rsidRPr="00850420">
        <w:rPr>
          <w:rFonts w:ascii="Times New Roman" w:hAnsi="Times New Roman"/>
          <w:lang w:val="ro-RO"/>
        </w:rPr>
        <w:t>aceeași</w:t>
      </w:r>
      <w:r w:rsidR="007A042E" w:rsidRPr="00850420">
        <w:rPr>
          <w:rFonts w:ascii="Times New Roman" w:hAnsi="Times New Roman"/>
          <w:lang w:val="ro-RO"/>
        </w:rPr>
        <w:t xml:space="preserve"> perioadă a anului 2015,</w:t>
      </w:r>
      <w:r w:rsidR="007A042E" w:rsidRPr="00850420">
        <w:rPr>
          <w:rFonts w:ascii="Times New Roman" w:hAnsi="Times New Roman"/>
          <w:lang w:val="ro-RO"/>
        </w:rPr>
        <w:tab/>
      </w:r>
    </w:p>
    <w:p w:rsidR="00E6354A" w:rsidRPr="00850420" w:rsidRDefault="00E6354A" w:rsidP="00850420">
      <w:pPr>
        <w:pStyle w:val="ac"/>
        <w:numPr>
          <w:ilvl w:val="0"/>
          <w:numId w:val="35"/>
        </w:numPr>
        <w:rPr>
          <w:rFonts w:ascii="Times New Roman" w:hAnsi="Times New Roman"/>
          <w:lang w:val="ro-RO"/>
        </w:rPr>
      </w:pPr>
      <w:r w:rsidRPr="00850420">
        <w:rPr>
          <w:rFonts w:ascii="Times New Roman" w:hAnsi="Times New Roman"/>
          <w:lang w:val="ro-RO"/>
        </w:rPr>
        <w:t xml:space="preserve">casate cu </w:t>
      </w:r>
      <w:r w:rsidR="00850420" w:rsidRPr="00850420">
        <w:rPr>
          <w:rFonts w:ascii="Times New Roman" w:hAnsi="Times New Roman"/>
          <w:lang w:val="ro-RO"/>
        </w:rPr>
        <w:t>pronunțarea</w:t>
      </w:r>
      <w:r w:rsidRPr="00850420">
        <w:rPr>
          <w:rFonts w:ascii="Times New Roman" w:hAnsi="Times New Roman"/>
          <w:lang w:val="ro-RO"/>
        </w:rPr>
        <w:t xml:space="preserve"> unei noi hotărîri –</w:t>
      </w:r>
      <w:r w:rsidR="003718CC" w:rsidRPr="00850420">
        <w:rPr>
          <w:rFonts w:ascii="Times New Roman" w:hAnsi="Times New Roman"/>
          <w:lang w:val="ro-RO"/>
        </w:rPr>
        <w:t xml:space="preserve"> </w:t>
      </w:r>
      <w:r w:rsidR="003718CC" w:rsidRPr="00850420">
        <w:rPr>
          <w:rFonts w:ascii="Times New Roman" w:hAnsi="Times New Roman"/>
          <w:b/>
          <w:lang w:val="ro-RO"/>
        </w:rPr>
        <w:t xml:space="preserve">4 </w:t>
      </w:r>
      <w:r w:rsidR="007A042E" w:rsidRPr="00850420">
        <w:rPr>
          <w:rFonts w:ascii="Times New Roman" w:hAnsi="Times New Roman"/>
          <w:lang w:val="ro-RO"/>
        </w:rPr>
        <w:t xml:space="preserve">cauze </w:t>
      </w:r>
      <w:r w:rsidRPr="00850420">
        <w:rPr>
          <w:rFonts w:ascii="Times New Roman" w:hAnsi="Times New Roman"/>
          <w:lang w:val="ro-RO"/>
        </w:rPr>
        <w:t>(</w:t>
      </w:r>
      <w:r w:rsidR="001D03A1" w:rsidRPr="00850420">
        <w:rPr>
          <w:rFonts w:ascii="Times New Roman" w:hAnsi="Times New Roman"/>
          <w:lang w:val="ro-RO"/>
        </w:rPr>
        <w:t>18,18</w:t>
      </w:r>
      <w:r w:rsidRPr="00850420">
        <w:rPr>
          <w:rFonts w:ascii="Times New Roman" w:hAnsi="Times New Roman"/>
          <w:lang w:val="ro-RO"/>
        </w:rPr>
        <w:t xml:space="preserve"> %), </w:t>
      </w:r>
      <w:r w:rsidR="007A042E" w:rsidRPr="00850420">
        <w:rPr>
          <w:rFonts w:ascii="Times New Roman" w:hAnsi="Times New Roman"/>
          <w:lang w:val="ro-RO"/>
        </w:rPr>
        <w:t xml:space="preserve">la fel ca în </w:t>
      </w:r>
      <w:r w:rsidR="00850420" w:rsidRPr="00850420">
        <w:rPr>
          <w:rFonts w:ascii="Times New Roman" w:hAnsi="Times New Roman"/>
          <w:lang w:val="ro-RO"/>
        </w:rPr>
        <w:t>aceeași</w:t>
      </w:r>
      <w:r w:rsidR="007A042E" w:rsidRPr="00850420">
        <w:rPr>
          <w:rFonts w:ascii="Times New Roman" w:hAnsi="Times New Roman"/>
          <w:lang w:val="ro-RO"/>
        </w:rPr>
        <w:t xml:space="preserve"> perioadă a anului 2015.</w:t>
      </w:r>
    </w:p>
    <w:p w:rsidR="007A042E" w:rsidRPr="007A042E" w:rsidRDefault="007A042E" w:rsidP="00850420">
      <w:pPr>
        <w:rPr>
          <w:lang w:val="ro-RO"/>
        </w:rPr>
      </w:pPr>
    </w:p>
    <w:p w:rsidR="00E6354A" w:rsidRPr="00200430" w:rsidRDefault="00E6354A" w:rsidP="00850420">
      <w:pPr>
        <w:rPr>
          <w:lang w:val="ro-RO"/>
        </w:rPr>
      </w:pPr>
      <w:r w:rsidRPr="00200430">
        <w:rPr>
          <w:b/>
          <w:u w:val="single"/>
          <w:lang w:val="ro-RO"/>
        </w:rPr>
        <w:t>Judecătoria Comrat</w:t>
      </w:r>
      <w:r w:rsidRPr="00200430">
        <w:rPr>
          <w:lang w:val="ro-RO"/>
        </w:rPr>
        <w:t xml:space="preserve"> – examinate – </w:t>
      </w:r>
      <w:r w:rsidR="003718CC">
        <w:rPr>
          <w:b/>
          <w:lang w:val="ro-RO"/>
        </w:rPr>
        <w:t>4</w:t>
      </w:r>
      <w:r w:rsidRPr="00200430">
        <w:rPr>
          <w:lang w:val="ro-RO"/>
        </w:rPr>
        <w:t xml:space="preserve"> cauze</w:t>
      </w:r>
      <w:r w:rsidR="00E8721B" w:rsidRPr="00200430">
        <w:rPr>
          <w:lang w:val="ro-RO"/>
        </w:rPr>
        <w:t xml:space="preserve">, </w:t>
      </w:r>
      <w:r w:rsidRPr="00200430">
        <w:rPr>
          <w:lang w:val="ro-RO"/>
        </w:rPr>
        <w:t xml:space="preserve">cu </w:t>
      </w:r>
      <w:r w:rsidR="00E8721B" w:rsidRPr="00200430">
        <w:rPr>
          <w:lang w:val="ro-RO"/>
        </w:rPr>
        <w:t>1</w:t>
      </w:r>
      <w:r w:rsidRPr="00200430">
        <w:rPr>
          <w:lang w:val="ro-RO"/>
        </w:rPr>
        <w:t xml:space="preserve"> cauze mai </w:t>
      </w:r>
      <w:r w:rsidR="00E8721B" w:rsidRPr="00200430">
        <w:rPr>
          <w:lang w:val="ro-RO"/>
        </w:rPr>
        <w:t>puțin</w:t>
      </w:r>
      <w:r w:rsidRPr="00200430">
        <w:rPr>
          <w:lang w:val="ro-RO"/>
        </w:rPr>
        <w:t xml:space="preserve"> ca în </w:t>
      </w:r>
      <w:r w:rsidR="00850420" w:rsidRPr="00200430">
        <w:rPr>
          <w:lang w:val="ro-RO"/>
        </w:rPr>
        <w:t>aceeași</w:t>
      </w:r>
      <w:r w:rsidRPr="00200430">
        <w:rPr>
          <w:lang w:val="ro-RO"/>
        </w:rPr>
        <w:t xml:space="preserve"> perioadă a anului 2015, din care:</w:t>
      </w:r>
    </w:p>
    <w:p w:rsidR="007A042E" w:rsidRPr="00850420" w:rsidRDefault="00E6354A" w:rsidP="00850420">
      <w:pPr>
        <w:pStyle w:val="ac"/>
        <w:numPr>
          <w:ilvl w:val="0"/>
          <w:numId w:val="35"/>
        </w:numPr>
        <w:rPr>
          <w:rFonts w:ascii="Times New Roman" w:hAnsi="Times New Roman"/>
          <w:lang w:val="ro-RO"/>
        </w:rPr>
      </w:pPr>
      <w:r w:rsidRPr="00850420">
        <w:rPr>
          <w:rFonts w:ascii="Times New Roman" w:hAnsi="Times New Roman"/>
          <w:lang w:val="ro-RO"/>
        </w:rPr>
        <w:t>menținute fără modificări –</w:t>
      </w:r>
      <w:r w:rsidR="003718CC" w:rsidRPr="00850420">
        <w:rPr>
          <w:rFonts w:ascii="Times New Roman" w:hAnsi="Times New Roman"/>
          <w:b/>
          <w:lang w:val="ro-RO"/>
        </w:rPr>
        <w:t xml:space="preserve"> 3 </w:t>
      </w:r>
      <w:r w:rsidR="003718CC" w:rsidRPr="00850420">
        <w:rPr>
          <w:rFonts w:ascii="Times New Roman" w:hAnsi="Times New Roman"/>
          <w:lang w:val="ro-RO"/>
        </w:rPr>
        <w:t>cauze</w:t>
      </w:r>
      <w:r w:rsidR="003718CC" w:rsidRPr="00850420">
        <w:rPr>
          <w:rFonts w:ascii="Times New Roman" w:hAnsi="Times New Roman"/>
          <w:b/>
          <w:lang w:val="ro-RO"/>
        </w:rPr>
        <w:t xml:space="preserve"> </w:t>
      </w:r>
      <w:r w:rsidRPr="00850420">
        <w:rPr>
          <w:rFonts w:ascii="Times New Roman" w:hAnsi="Times New Roman"/>
          <w:lang w:val="ro-RO"/>
        </w:rPr>
        <w:t>(</w:t>
      </w:r>
      <w:r w:rsidR="001D03A1" w:rsidRPr="00850420">
        <w:rPr>
          <w:rFonts w:ascii="Times New Roman" w:hAnsi="Times New Roman"/>
          <w:lang w:val="ro-RO"/>
        </w:rPr>
        <w:t>75</w:t>
      </w:r>
      <w:r w:rsidRPr="00850420">
        <w:rPr>
          <w:rFonts w:ascii="Times New Roman" w:hAnsi="Times New Roman"/>
          <w:lang w:val="ro-RO"/>
        </w:rPr>
        <w:t xml:space="preserve"> %), </w:t>
      </w:r>
      <w:r w:rsidR="007A042E" w:rsidRPr="00850420">
        <w:rPr>
          <w:rFonts w:ascii="Times New Roman" w:hAnsi="Times New Roman"/>
          <w:lang w:val="ro-RO"/>
        </w:rPr>
        <w:t xml:space="preserve">la fel ca în </w:t>
      </w:r>
      <w:r w:rsidR="00850420" w:rsidRPr="00850420">
        <w:rPr>
          <w:rFonts w:ascii="Times New Roman" w:hAnsi="Times New Roman"/>
          <w:lang w:val="ro-RO"/>
        </w:rPr>
        <w:t>aceeași</w:t>
      </w:r>
      <w:r w:rsidR="007A042E" w:rsidRPr="00850420">
        <w:rPr>
          <w:rFonts w:ascii="Times New Roman" w:hAnsi="Times New Roman"/>
          <w:lang w:val="ro-RO"/>
        </w:rPr>
        <w:t xml:space="preserve"> perioadă a anului 2015.</w:t>
      </w:r>
    </w:p>
    <w:p w:rsidR="00E6354A" w:rsidRPr="00850420" w:rsidRDefault="00E6354A" w:rsidP="00850420">
      <w:pPr>
        <w:pStyle w:val="ac"/>
        <w:numPr>
          <w:ilvl w:val="0"/>
          <w:numId w:val="35"/>
        </w:numPr>
        <w:rPr>
          <w:rFonts w:ascii="Times New Roman" w:hAnsi="Times New Roman"/>
          <w:lang w:val="ro-RO"/>
        </w:rPr>
      </w:pPr>
      <w:r w:rsidRPr="00850420">
        <w:rPr>
          <w:rFonts w:ascii="Times New Roman" w:hAnsi="Times New Roman"/>
          <w:lang w:val="ro-RO"/>
        </w:rPr>
        <w:t xml:space="preserve">casate cu </w:t>
      </w:r>
      <w:r w:rsidR="00850420" w:rsidRPr="00850420">
        <w:rPr>
          <w:rFonts w:ascii="Times New Roman" w:hAnsi="Times New Roman"/>
          <w:lang w:val="ro-RO"/>
        </w:rPr>
        <w:t>pronunțarea</w:t>
      </w:r>
      <w:r w:rsidRPr="00850420">
        <w:rPr>
          <w:rFonts w:ascii="Times New Roman" w:hAnsi="Times New Roman"/>
          <w:lang w:val="ro-RO"/>
        </w:rPr>
        <w:t xml:space="preserve"> unei noi hotărîri –</w:t>
      </w:r>
      <w:r w:rsidR="003718CC" w:rsidRPr="00850420">
        <w:rPr>
          <w:rFonts w:ascii="Times New Roman" w:hAnsi="Times New Roman"/>
          <w:b/>
          <w:lang w:val="ro-RO"/>
        </w:rPr>
        <w:t xml:space="preserve"> </w:t>
      </w:r>
      <w:r w:rsidRPr="00850420">
        <w:rPr>
          <w:rFonts w:ascii="Times New Roman" w:hAnsi="Times New Roman"/>
          <w:lang w:val="ro-RO"/>
        </w:rPr>
        <w:t xml:space="preserve"> </w:t>
      </w:r>
      <w:r w:rsidR="003718CC" w:rsidRPr="00850420">
        <w:rPr>
          <w:rFonts w:ascii="Times New Roman" w:hAnsi="Times New Roman"/>
          <w:b/>
          <w:lang w:val="ro-RO"/>
        </w:rPr>
        <w:t>1</w:t>
      </w:r>
      <w:r w:rsidR="003718CC" w:rsidRPr="00850420">
        <w:rPr>
          <w:rFonts w:ascii="Times New Roman" w:hAnsi="Times New Roman"/>
          <w:lang w:val="ro-RO"/>
        </w:rPr>
        <w:t xml:space="preserve"> cauză</w:t>
      </w:r>
      <w:r w:rsidRPr="00850420">
        <w:rPr>
          <w:rFonts w:ascii="Times New Roman" w:hAnsi="Times New Roman"/>
          <w:lang w:val="ro-RO"/>
        </w:rPr>
        <w:t xml:space="preserve"> (</w:t>
      </w:r>
      <w:r w:rsidR="001D03A1" w:rsidRPr="00850420">
        <w:rPr>
          <w:rFonts w:ascii="Times New Roman" w:hAnsi="Times New Roman"/>
          <w:lang w:val="ro-RO"/>
        </w:rPr>
        <w:t>25</w:t>
      </w:r>
      <w:r w:rsidRPr="00850420">
        <w:rPr>
          <w:rFonts w:ascii="Times New Roman" w:hAnsi="Times New Roman"/>
          <w:lang w:val="ro-RO"/>
        </w:rPr>
        <w:t xml:space="preserve"> %),</w:t>
      </w:r>
      <w:r w:rsidR="007A042E" w:rsidRPr="00850420">
        <w:rPr>
          <w:rFonts w:ascii="Times New Roman" w:hAnsi="Times New Roman"/>
          <w:lang w:val="ro-RO"/>
        </w:rPr>
        <w:t xml:space="preserve"> cu 1 cauze mai puțin ca în </w:t>
      </w:r>
      <w:r w:rsidR="00850420" w:rsidRPr="00850420">
        <w:rPr>
          <w:rFonts w:ascii="Times New Roman" w:hAnsi="Times New Roman"/>
          <w:lang w:val="ro-RO"/>
        </w:rPr>
        <w:t>aceeași</w:t>
      </w:r>
      <w:r w:rsidR="007A042E" w:rsidRPr="00850420">
        <w:rPr>
          <w:rFonts w:ascii="Times New Roman" w:hAnsi="Times New Roman"/>
          <w:lang w:val="ro-RO"/>
        </w:rPr>
        <w:t xml:space="preserve"> perioadă a anului 2015</w:t>
      </w:r>
    </w:p>
    <w:p w:rsidR="007A042E" w:rsidRPr="007A042E" w:rsidRDefault="007A042E" w:rsidP="00850420">
      <w:pPr>
        <w:rPr>
          <w:lang w:val="ro-RO"/>
        </w:rPr>
      </w:pPr>
    </w:p>
    <w:p w:rsidR="00E6354A" w:rsidRPr="00200430" w:rsidRDefault="00E6354A" w:rsidP="00850420">
      <w:pPr>
        <w:rPr>
          <w:lang w:val="ro-RO"/>
        </w:rPr>
      </w:pPr>
      <w:r w:rsidRPr="00200430">
        <w:rPr>
          <w:b/>
          <w:u w:val="single"/>
          <w:lang w:val="ro-RO"/>
        </w:rPr>
        <w:t>Judecătoria Ceadîr-Lunga</w:t>
      </w:r>
      <w:r w:rsidRPr="00200430">
        <w:rPr>
          <w:lang w:val="ro-RO"/>
        </w:rPr>
        <w:t xml:space="preserve"> – examinate – </w:t>
      </w:r>
      <w:r w:rsidR="003718CC">
        <w:rPr>
          <w:b/>
          <w:lang w:val="ro-RO"/>
        </w:rPr>
        <w:t xml:space="preserve">0 </w:t>
      </w:r>
      <w:r w:rsidR="00E8721B" w:rsidRPr="00200430">
        <w:rPr>
          <w:lang w:val="ro-RO"/>
        </w:rPr>
        <w:t xml:space="preserve"> cauze, </w:t>
      </w:r>
      <w:r w:rsidR="00194494" w:rsidRPr="00200430">
        <w:rPr>
          <w:lang w:val="ro-RO"/>
        </w:rPr>
        <w:t xml:space="preserve">cu 8 cauze mai puțin ca </w:t>
      </w:r>
      <w:r w:rsidRPr="00200430">
        <w:rPr>
          <w:lang w:val="ro-RO"/>
        </w:rPr>
        <w:t xml:space="preserve">în aceeași perioada  a anului 2015, din care : </w:t>
      </w:r>
    </w:p>
    <w:p w:rsidR="00E6354A" w:rsidRPr="00850420" w:rsidRDefault="00E6354A" w:rsidP="00850420">
      <w:pPr>
        <w:pStyle w:val="ac"/>
        <w:numPr>
          <w:ilvl w:val="0"/>
          <w:numId w:val="35"/>
        </w:numPr>
        <w:rPr>
          <w:rFonts w:ascii="Times New Roman" w:hAnsi="Times New Roman"/>
          <w:lang w:val="ro-RO"/>
        </w:rPr>
      </w:pPr>
      <w:r w:rsidRPr="00850420">
        <w:rPr>
          <w:rFonts w:ascii="Times New Roman" w:hAnsi="Times New Roman"/>
          <w:lang w:val="ro-RO"/>
        </w:rPr>
        <w:t>menținute fără modificări –</w:t>
      </w:r>
      <w:r w:rsidR="003718CC" w:rsidRPr="00850420">
        <w:rPr>
          <w:rFonts w:ascii="Times New Roman" w:hAnsi="Times New Roman"/>
          <w:lang w:val="ro-RO"/>
        </w:rPr>
        <w:t xml:space="preserve"> </w:t>
      </w:r>
      <w:r w:rsidR="00194494" w:rsidRPr="00850420">
        <w:rPr>
          <w:rFonts w:ascii="Times New Roman" w:hAnsi="Times New Roman"/>
          <w:b/>
          <w:lang w:val="ro-RO"/>
        </w:rPr>
        <w:t>0</w:t>
      </w:r>
      <w:r w:rsidR="003718CC" w:rsidRPr="00850420">
        <w:rPr>
          <w:rFonts w:ascii="Times New Roman" w:hAnsi="Times New Roman"/>
          <w:b/>
          <w:lang w:val="ro-RO"/>
        </w:rPr>
        <w:t xml:space="preserve"> </w:t>
      </w:r>
      <w:r w:rsidR="003718CC" w:rsidRPr="00850420">
        <w:rPr>
          <w:rFonts w:ascii="Times New Roman" w:hAnsi="Times New Roman"/>
          <w:lang w:val="ro-RO"/>
        </w:rPr>
        <w:t>cauze</w:t>
      </w:r>
      <w:r w:rsidR="00A2550D" w:rsidRPr="00850420">
        <w:rPr>
          <w:rFonts w:ascii="Times New Roman" w:hAnsi="Times New Roman"/>
          <w:lang w:val="ro-RO"/>
        </w:rPr>
        <w:t xml:space="preserve">, </w:t>
      </w:r>
      <w:r w:rsidRPr="00850420">
        <w:rPr>
          <w:rFonts w:ascii="Times New Roman" w:hAnsi="Times New Roman"/>
          <w:lang w:val="ro-RO"/>
        </w:rPr>
        <w:t xml:space="preserve">cu </w:t>
      </w:r>
      <w:r w:rsidR="00194494" w:rsidRPr="00850420">
        <w:rPr>
          <w:rFonts w:ascii="Times New Roman" w:hAnsi="Times New Roman"/>
          <w:b/>
          <w:lang w:val="ro-RO"/>
        </w:rPr>
        <w:t>7</w:t>
      </w:r>
      <w:r w:rsidRPr="00850420">
        <w:rPr>
          <w:rFonts w:ascii="Times New Roman" w:hAnsi="Times New Roman"/>
          <w:lang w:val="ro-RO"/>
        </w:rPr>
        <w:t xml:space="preserve"> cauz</w:t>
      </w:r>
      <w:r w:rsidR="00A2550D" w:rsidRPr="00850420">
        <w:rPr>
          <w:rFonts w:ascii="Times New Roman" w:hAnsi="Times New Roman"/>
          <w:lang w:val="ro-RO"/>
        </w:rPr>
        <w:t>e</w:t>
      </w:r>
      <w:r w:rsidRPr="00850420">
        <w:rPr>
          <w:rFonts w:ascii="Times New Roman" w:hAnsi="Times New Roman"/>
          <w:lang w:val="ro-RO"/>
        </w:rPr>
        <w:t xml:space="preserve"> mai </w:t>
      </w:r>
      <w:r w:rsidR="00194494" w:rsidRPr="00850420">
        <w:rPr>
          <w:rFonts w:ascii="Times New Roman" w:hAnsi="Times New Roman"/>
          <w:lang w:val="ro-RO"/>
        </w:rPr>
        <w:t>puțin</w:t>
      </w:r>
      <w:r w:rsidRPr="00850420">
        <w:rPr>
          <w:rFonts w:ascii="Times New Roman" w:hAnsi="Times New Roman"/>
          <w:lang w:val="ro-RO"/>
        </w:rPr>
        <w:t xml:space="preserve"> ca în </w:t>
      </w:r>
      <w:r w:rsidR="00850420" w:rsidRPr="00850420">
        <w:rPr>
          <w:rFonts w:ascii="Times New Roman" w:hAnsi="Times New Roman"/>
          <w:lang w:val="ro-RO"/>
        </w:rPr>
        <w:t>aceeași</w:t>
      </w:r>
      <w:r w:rsidRPr="00850420">
        <w:rPr>
          <w:rFonts w:ascii="Times New Roman" w:hAnsi="Times New Roman"/>
          <w:lang w:val="ro-RO"/>
        </w:rPr>
        <w:t xml:space="preserve"> perioadă a anului 2015,</w:t>
      </w:r>
    </w:p>
    <w:p w:rsidR="00E6354A" w:rsidRPr="00850420" w:rsidRDefault="00E6354A" w:rsidP="00850420">
      <w:pPr>
        <w:pStyle w:val="ac"/>
        <w:numPr>
          <w:ilvl w:val="0"/>
          <w:numId w:val="35"/>
        </w:numPr>
        <w:rPr>
          <w:rFonts w:ascii="Times New Roman" w:hAnsi="Times New Roman"/>
          <w:lang w:val="ro-RO"/>
        </w:rPr>
      </w:pPr>
      <w:r w:rsidRPr="00850420">
        <w:rPr>
          <w:rFonts w:ascii="Times New Roman" w:hAnsi="Times New Roman"/>
          <w:lang w:val="ro-RO"/>
        </w:rPr>
        <w:t xml:space="preserve">casate cu </w:t>
      </w:r>
      <w:r w:rsidR="00850420" w:rsidRPr="00850420">
        <w:rPr>
          <w:rFonts w:ascii="Times New Roman" w:hAnsi="Times New Roman"/>
          <w:lang w:val="ro-RO"/>
        </w:rPr>
        <w:t>pronunțarea</w:t>
      </w:r>
      <w:r w:rsidRPr="00850420">
        <w:rPr>
          <w:rFonts w:ascii="Times New Roman" w:hAnsi="Times New Roman"/>
          <w:lang w:val="ro-RO"/>
        </w:rPr>
        <w:t xml:space="preserve"> unei noi hotărîri –</w:t>
      </w:r>
      <w:r w:rsidR="003718CC" w:rsidRPr="00850420">
        <w:rPr>
          <w:rFonts w:ascii="Times New Roman" w:hAnsi="Times New Roman"/>
          <w:lang w:val="ro-RO"/>
        </w:rPr>
        <w:t xml:space="preserve"> </w:t>
      </w:r>
      <w:r w:rsidR="00194494" w:rsidRPr="00850420">
        <w:rPr>
          <w:rFonts w:ascii="Times New Roman" w:hAnsi="Times New Roman"/>
          <w:b/>
          <w:lang w:val="ro-RO"/>
        </w:rPr>
        <w:t>0</w:t>
      </w:r>
      <w:r w:rsidR="003718CC" w:rsidRPr="00850420">
        <w:rPr>
          <w:rFonts w:ascii="Times New Roman" w:hAnsi="Times New Roman"/>
          <w:b/>
          <w:lang w:val="ro-RO"/>
        </w:rPr>
        <w:t xml:space="preserve"> </w:t>
      </w:r>
      <w:r w:rsidR="003718CC" w:rsidRPr="00850420">
        <w:rPr>
          <w:rFonts w:ascii="Times New Roman" w:hAnsi="Times New Roman"/>
          <w:lang w:val="ro-RO"/>
        </w:rPr>
        <w:t>cauze</w:t>
      </w:r>
      <w:r w:rsidR="00A2550D" w:rsidRPr="00850420">
        <w:rPr>
          <w:rFonts w:ascii="Times New Roman" w:hAnsi="Times New Roman"/>
          <w:lang w:val="ro-RO"/>
        </w:rPr>
        <w:t xml:space="preserve">, </w:t>
      </w:r>
      <w:r w:rsidRPr="00850420">
        <w:rPr>
          <w:rFonts w:ascii="Times New Roman" w:hAnsi="Times New Roman"/>
          <w:lang w:val="ro-RO"/>
        </w:rPr>
        <w:t xml:space="preserve">cu </w:t>
      </w:r>
      <w:r w:rsidRPr="00850420">
        <w:rPr>
          <w:rFonts w:ascii="Times New Roman" w:hAnsi="Times New Roman"/>
          <w:b/>
          <w:lang w:val="ro-RO"/>
        </w:rPr>
        <w:t>1</w:t>
      </w:r>
      <w:r w:rsidRPr="00850420">
        <w:rPr>
          <w:rFonts w:ascii="Times New Roman" w:hAnsi="Times New Roman"/>
          <w:lang w:val="ro-RO"/>
        </w:rPr>
        <w:t xml:space="preserve"> cauză mai puțin ca în </w:t>
      </w:r>
      <w:r w:rsidR="00850420" w:rsidRPr="00850420">
        <w:rPr>
          <w:rFonts w:ascii="Times New Roman" w:hAnsi="Times New Roman"/>
          <w:lang w:val="ro-RO"/>
        </w:rPr>
        <w:t>aceeași</w:t>
      </w:r>
      <w:r w:rsidRPr="00850420">
        <w:rPr>
          <w:rFonts w:ascii="Times New Roman" w:hAnsi="Times New Roman"/>
          <w:lang w:val="ro-RO"/>
        </w:rPr>
        <w:t xml:space="preserve"> perioadă a anului 2015.</w:t>
      </w:r>
    </w:p>
    <w:p w:rsidR="00895B4F" w:rsidRPr="00200430" w:rsidRDefault="00895B4F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</w:pPr>
    </w:p>
    <w:p w:rsidR="00895B4F" w:rsidRPr="00200430" w:rsidRDefault="00895B4F" w:rsidP="00850420">
      <w:pPr>
        <w:pStyle w:val="a5"/>
        <w:numPr>
          <w:ilvl w:val="0"/>
          <w:numId w:val="34"/>
        </w:numPr>
        <w:tabs>
          <w:tab w:val="left" w:pos="142"/>
        </w:tabs>
        <w:ind w:right="-1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</w:pPr>
      <w:r w:rsidRPr="00200430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 xml:space="preserve">Examinarea în ordine de recurs ordinar a materialelor </w:t>
      </w:r>
      <w:r w:rsidR="00850420" w:rsidRPr="00200430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>contravenționale</w:t>
      </w:r>
      <w:r w:rsidRPr="00200430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 xml:space="preserve"> (4r)</w:t>
      </w:r>
    </w:p>
    <w:p w:rsidR="00895B4F" w:rsidRPr="00200430" w:rsidRDefault="00895B4F" w:rsidP="00895B4F">
      <w:pPr>
        <w:pStyle w:val="a5"/>
        <w:tabs>
          <w:tab w:val="left" w:pos="142"/>
        </w:tabs>
        <w:ind w:right="-1"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</w:pPr>
    </w:p>
    <w:p w:rsidR="00963D10" w:rsidRPr="00200430" w:rsidRDefault="005F0920" w:rsidP="004435BE">
      <w:pPr>
        <w:rPr>
          <w:lang w:val="ro-RO"/>
        </w:rPr>
      </w:pPr>
      <w:r w:rsidRPr="00200430">
        <w:rPr>
          <w:lang w:val="ro-RO"/>
        </w:rPr>
        <w:t>Pe parcursul perioadei 6</w:t>
      </w:r>
      <w:r w:rsidR="00963D10" w:rsidRPr="00200430">
        <w:rPr>
          <w:lang w:val="ro-RO"/>
        </w:rPr>
        <w:t xml:space="preserve"> luni a anului 2016 spre examinare la Curtea de Apel Cahul s-au aflat în procedură în total</w:t>
      </w:r>
      <w:r w:rsidR="00963D10" w:rsidRPr="00200430">
        <w:rPr>
          <w:b/>
          <w:lang w:val="ro-RO"/>
        </w:rPr>
        <w:t xml:space="preserve"> </w:t>
      </w:r>
      <w:r w:rsidR="007A042E">
        <w:rPr>
          <w:b/>
          <w:lang w:val="ro-RO"/>
        </w:rPr>
        <w:t xml:space="preserve">155 </w:t>
      </w:r>
      <w:r w:rsidR="00770548">
        <w:rPr>
          <w:b/>
          <w:lang w:val="ro-RO"/>
        </w:rPr>
        <w:t>cauze</w:t>
      </w:r>
      <w:r w:rsidR="00963D10" w:rsidRPr="00200430">
        <w:rPr>
          <w:b/>
          <w:lang w:val="ro-RO"/>
        </w:rPr>
        <w:t xml:space="preserve"> contravenționale, </w:t>
      </w:r>
      <w:r w:rsidR="00770548" w:rsidRPr="00770548">
        <w:rPr>
          <w:lang w:val="ro-RO"/>
        </w:rPr>
        <w:t>din care:</w:t>
      </w:r>
    </w:p>
    <w:p w:rsidR="00963D10" w:rsidRPr="00200430" w:rsidRDefault="00963D10" w:rsidP="004435BE">
      <w:pPr>
        <w:rPr>
          <w:lang w:val="ro-RO"/>
        </w:rPr>
      </w:pPr>
      <w:r w:rsidRPr="00200430">
        <w:rPr>
          <w:b/>
          <w:lang w:val="ro-RO"/>
        </w:rPr>
        <w:t>32 cauze</w:t>
      </w:r>
      <w:r w:rsidRPr="00200430">
        <w:rPr>
          <w:lang w:val="ro-RO"/>
        </w:rPr>
        <w:t xml:space="preserve"> pendinte la începutul perioadei raportate,</w:t>
      </w:r>
      <w:r w:rsidR="00AB5D13">
        <w:rPr>
          <w:lang w:val="ro-RO"/>
        </w:rPr>
        <w:t xml:space="preserve"> </w:t>
      </w:r>
      <w:r w:rsidR="007A042E">
        <w:rPr>
          <w:b/>
          <w:lang w:val="ro-RO"/>
        </w:rPr>
        <w:t>123</w:t>
      </w:r>
      <w:r w:rsidRPr="00200430">
        <w:rPr>
          <w:b/>
          <w:lang w:val="ro-RO"/>
        </w:rPr>
        <w:t xml:space="preserve"> cauze</w:t>
      </w:r>
      <w:r w:rsidRPr="00200430">
        <w:rPr>
          <w:lang w:val="ro-RO"/>
        </w:rPr>
        <w:t xml:space="preserve">  noi înregistrate</w:t>
      </w:r>
      <w:r w:rsidR="00AB5D13">
        <w:rPr>
          <w:lang w:val="ro-RO"/>
        </w:rPr>
        <w:t>.</w:t>
      </w:r>
    </w:p>
    <w:p w:rsidR="00963D10" w:rsidRPr="00200430" w:rsidRDefault="00963D10" w:rsidP="004435BE">
      <w:pPr>
        <w:rPr>
          <w:lang w:val="ro-RO"/>
        </w:rPr>
      </w:pPr>
      <w:r w:rsidRPr="00200430">
        <w:rPr>
          <w:lang w:val="ro-RO"/>
        </w:rPr>
        <w:t>Din totalul dosarelor aflate în procedură au fost  soluționate</w:t>
      </w:r>
      <w:r w:rsidR="007A042E">
        <w:rPr>
          <w:lang w:val="ro-RO"/>
        </w:rPr>
        <w:t xml:space="preserve"> </w:t>
      </w:r>
      <w:r w:rsidRPr="00200430">
        <w:rPr>
          <w:lang w:val="ro-RO"/>
        </w:rPr>
        <w:t>–</w:t>
      </w:r>
      <w:r w:rsidR="007A042E">
        <w:rPr>
          <w:lang w:val="ro-RO"/>
        </w:rPr>
        <w:t xml:space="preserve"> </w:t>
      </w:r>
      <w:r w:rsidR="007A042E" w:rsidRPr="001D04FC">
        <w:rPr>
          <w:b/>
          <w:lang w:val="ro-RO"/>
        </w:rPr>
        <w:t>1</w:t>
      </w:r>
      <w:r w:rsidR="00AB5D13">
        <w:rPr>
          <w:b/>
          <w:lang w:val="ro-RO"/>
        </w:rPr>
        <w:t>30 dosare</w:t>
      </w:r>
      <w:r w:rsidR="00AB5D13" w:rsidRPr="00200430">
        <w:rPr>
          <w:lang w:val="ro-RO"/>
        </w:rPr>
        <w:t xml:space="preserve">, </w:t>
      </w:r>
      <w:r w:rsidR="00AB5D13" w:rsidRPr="00200430">
        <w:rPr>
          <w:i/>
          <w:lang w:val="ro-RO"/>
        </w:rPr>
        <w:t>din care fără soluționare în fo</w:t>
      </w:r>
      <w:r w:rsidR="00AB5D13">
        <w:rPr>
          <w:i/>
          <w:lang w:val="ro-RO"/>
        </w:rPr>
        <w:t xml:space="preserve">nd 2 cauze, strămutate la CSJ -6 </w:t>
      </w:r>
      <w:r w:rsidR="00AB5D13" w:rsidRPr="00200430">
        <w:rPr>
          <w:i/>
          <w:lang w:val="ro-RO"/>
        </w:rPr>
        <w:t>cauze</w:t>
      </w:r>
      <w:r w:rsidR="00AB5D13">
        <w:rPr>
          <w:i/>
          <w:lang w:val="ro-RO"/>
        </w:rPr>
        <w:t>.</w:t>
      </w:r>
    </w:p>
    <w:p w:rsidR="00963D10" w:rsidRPr="00200430" w:rsidRDefault="00963D10" w:rsidP="004435BE">
      <w:pPr>
        <w:rPr>
          <w:lang w:val="ro-RO"/>
        </w:rPr>
      </w:pPr>
      <w:r w:rsidRPr="00200430">
        <w:rPr>
          <w:lang w:val="ro-RO"/>
        </w:rPr>
        <w:t xml:space="preserve">Numărul dosarelor pendinte la sfîrșitul perioadei raportate constituie </w:t>
      </w:r>
      <w:r w:rsidR="007A042E">
        <w:rPr>
          <w:b/>
          <w:lang w:val="ro-RO"/>
        </w:rPr>
        <w:t xml:space="preserve">25 </w:t>
      </w:r>
      <w:r w:rsidRPr="00200430">
        <w:rPr>
          <w:b/>
          <w:lang w:val="ro-RO"/>
        </w:rPr>
        <w:t>dosare.</w:t>
      </w:r>
    </w:p>
    <w:p w:rsidR="00963D10" w:rsidRPr="00200430" w:rsidRDefault="00963D10" w:rsidP="004435BE">
      <w:pPr>
        <w:rPr>
          <w:lang w:val="ro-RO"/>
        </w:rPr>
      </w:pPr>
      <w:r w:rsidRPr="00200430">
        <w:rPr>
          <w:lang w:val="ro-RO"/>
        </w:rPr>
        <w:t xml:space="preserve">Rata de variație a stocului de cauze (raportul dintre cauzele noi înregistrate și cele pendinte la începutul perioadei raportate) constituie </w:t>
      </w:r>
      <w:r w:rsidR="007A042E" w:rsidRPr="007A042E">
        <w:rPr>
          <w:b/>
          <w:lang w:val="ro-RO"/>
        </w:rPr>
        <w:t>105,69%</w:t>
      </w:r>
      <w:r w:rsidR="007A042E">
        <w:rPr>
          <w:b/>
          <w:lang w:val="ro-RO"/>
        </w:rPr>
        <w:t>.</w:t>
      </w:r>
    </w:p>
    <w:p w:rsidR="00963D10" w:rsidRPr="00200430" w:rsidRDefault="00963D10" w:rsidP="004435BE">
      <w:pPr>
        <w:rPr>
          <w:b/>
          <w:lang w:val="ro-RO"/>
        </w:rPr>
      </w:pPr>
      <w:r w:rsidRPr="00200430">
        <w:rPr>
          <w:lang w:val="ro-RO"/>
        </w:rPr>
        <w:t xml:space="preserve">Numărul de cauze penale examinate de un judecător în mediu  constituie </w:t>
      </w:r>
      <w:r w:rsidR="007A042E">
        <w:rPr>
          <w:lang w:val="ro-RO"/>
        </w:rPr>
        <w:t>6</w:t>
      </w:r>
      <w:r w:rsidRPr="00200430">
        <w:rPr>
          <w:b/>
          <w:lang w:val="ro-RO"/>
        </w:rPr>
        <w:t xml:space="preserve"> dosare.</w:t>
      </w:r>
    </w:p>
    <w:p w:rsidR="00963D10" w:rsidRPr="00200430" w:rsidRDefault="00963D10" w:rsidP="004435BE">
      <w:pPr>
        <w:rPr>
          <w:lang w:val="ro-RO"/>
        </w:rPr>
      </w:pPr>
    </w:p>
    <w:p w:rsidR="00963D10" w:rsidRPr="00200430" w:rsidRDefault="00963D10" w:rsidP="004435BE">
      <w:pPr>
        <w:rPr>
          <w:lang w:val="ro-RO"/>
        </w:rPr>
      </w:pPr>
      <w:r w:rsidRPr="00200430">
        <w:rPr>
          <w:lang w:val="ro-RO"/>
        </w:rPr>
        <w:lastRenderedPageBreak/>
        <w:t>În anul 2016 comparativ cu aceeași perioadă a anului 2015 numărul dosarelor pendinte la începutul perioadei raportate a înregistrat  o scădere cu 6 dosare.</w:t>
      </w:r>
    </w:p>
    <w:p w:rsidR="00963D10" w:rsidRPr="00200430" w:rsidRDefault="00963D10" w:rsidP="004435BE">
      <w:pPr>
        <w:rPr>
          <w:lang w:val="ro-RO"/>
        </w:rPr>
      </w:pPr>
      <w:r w:rsidRPr="00200430">
        <w:rPr>
          <w:lang w:val="ro-RO"/>
        </w:rPr>
        <w:t>Dosarele noi înregistrate</w:t>
      </w:r>
      <w:r w:rsidR="00770548">
        <w:rPr>
          <w:lang w:val="ro-RO"/>
        </w:rPr>
        <w:t xml:space="preserve"> au </w:t>
      </w:r>
      <w:r w:rsidR="00AB5D13">
        <w:rPr>
          <w:lang w:val="ro-RO"/>
        </w:rPr>
        <w:t xml:space="preserve">înregistrat o creștere cu </w:t>
      </w:r>
      <w:r w:rsidR="00770548">
        <w:rPr>
          <w:lang w:val="ro-RO"/>
        </w:rPr>
        <w:t>3</w:t>
      </w:r>
      <w:r w:rsidRPr="00200430">
        <w:rPr>
          <w:lang w:val="ro-RO"/>
        </w:rPr>
        <w:t xml:space="preserve"> cauze. </w:t>
      </w:r>
    </w:p>
    <w:p w:rsidR="00963D10" w:rsidRPr="00200430" w:rsidRDefault="00963D10" w:rsidP="004435BE">
      <w:pPr>
        <w:rPr>
          <w:bCs/>
          <w:szCs w:val="28"/>
          <w:lang w:val="ro-RO"/>
        </w:rPr>
      </w:pPr>
      <w:r w:rsidRPr="00200430">
        <w:rPr>
          <w:lang w:val="ro-RO"/>
        </w:rPr>
        <w:t>Cauze soluți</w:t>
      </w:r>
      <w:r w:rsidR="00770548">
        <w:rPr>
          <w:lang w:val="ro-RO"/>
        </w:rPr>
        <w:t>onate ne indică o creștere cu  9</w:t>
      </w:r>
      <w:r w:rsidRPr="00200430">
        <w:rPr>
          <w:lang w:val="ro-RO"/>
        </w:rPr>
        <w:t xml:space="preserve"> dosar</w:t>
      </w:r>
      <w:r w:rsidR="00770548">
        <w:rPr>
          <w:lang w:val="ro-RO"/>
        </w:rPr>
        <w:t>e</w:t>
      </w:r>
      <w:r w:rsidRPr="00200430">
        <w:rPr>
          <w:lang w:val="ro-RO"/>
        </w:rPr>
        <w:t>, iar  cele pendinte o scădere c</w:t>
      </w:r>
      <w:r w:rsidR="00770548">
        <w:rPr>
          <w:lang w:val="ro-RO"/>
        </w:rPr>
        <w:t xml:space="preserve">u  </w:t>
      </w:r>
      <w:r w:rsidR="00AB5D13">
        <w:rPr>
          <w:lang w:val="ro-RO"/>
        </w:rPr>
        <w:t>12</w:t>
      </w:r>
      <w:r w:rsidRPr="00200430">
        <w:rPr>
          <w:lang w:val="ro-RO"/>
        </w:rPr>
        <w:t xml:space="preserve"> dosare. </w:t>
      </w:r>
    </w:p>
    <w:p w:rsidR="00704F0D" w:rsidRPr="00200430" w:rsidRDefault="00704F0D" w:rsidP="000902D9">
      <w:pPr>
        <w:pStyle w:val="a5"/>
        <w:ind w:left="465"/>
        <w:jc w:val="center"/>
        <w:rPr>
          <w:rFonts w:ascii="Times New Roman" w:hAnsi="Times New Roman"/>
          <w:i/>
          <w:color w:val="000000" w:themeColor="text1"/>
          <w:sz w:val="24"/>
          <w:szCs w:val="24"/>
          <w:lang w:val="ro-RO"/>
        </w:rPr>
      </w:pPr>
    </w:p>
    <w:p w:rsidR="00963D10" w:rsidRDefault="00963D10" w:rsidP="000902D9">
      <w:pPr>
        <w:pStyle w:val="a5"/>
        <w:ind w:left="465"/>
        <w:jc w:val="center"/>
        <w:rPr>
          <w:rFonts w:ascii="Times New Roman" w:hAnsi="Times New Roman"/>
          <w:i/>
          <w:color w:val="000000" w:themeColor="text1"/>
          <w:sz w:val="24"/>
          <w:szCs w:val="24"/>
          <w:lang w:val="ro-RO"/>
        </w:rPr>
      </w:pPr>
      <w:r w:rsidRPr="00200430">
        <w:rPr>
          <w:rFonts w:ascii="Times New Roman" w:hAnsi="Times New Roman"/>
          <w:i/>
          <w:color w:val="000000" w:themeColor="text1"/>
          <w:sz w:val="24"/>
          <w:szCs w:val="24"/>
          <w:lang w:val="ro-RO"/>
        </w:rPr>
        <w:t>Analiza activității comparative în diagramă</w:t>
      </w:r>
    </w:p>
    <w:p w:rsidR="00770548" w:rsidRPr="00200430" w:rsidRDefault="00770548" w:rsidP="000902D9">
      <w:pPr>
        <w:pStyle w:val="a5"/>
        <w:ind w:left="465"/>
        <w:jc w:val="center"/>
        <w:rPr>
          <w:rFonts w:ascii="Times New Roman" w:hAnsi="Times New Roman"/>
          <w:i/>
          <w:color w:val="000000" w:themeColor="text1"/>
          <w:sz w:val="24"/>
          <w:szCs w:val="24"/>
          <w:lang w:val="ro-RO"/>
        </w:rPr>
      </w:pPr>
    </w:p>
    <w:p w:rsidR="00963D10" w:rsidRPr="00200430" w:rsidRDefault="00770548" w:rsidP="00963D10">
      <w:pPr>
        <w:pStyle w:val="a5"/>
        <w:tabs>
          <w:tab w:val="left" w:pos="142"/>
        </w:tabs>
        <w:ind w:left="567" w:right="-1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>
        <w:rPr>
          <w:noProof/>
          <w:lang w:val="ro-RO" w:eastAsia="ro-RO"/>
        </w:rPr>
        <w:drawing>
          <wp:inline distT="0" distB="0" distL="0" distR="0" wp14:anchorId="37DC1CE6" wp14:editId="18BC696B">
            <wp:extent cx="4963583" cy="3206750"/>
            <wp:effectExtent l="0" t="0" r="8890" b="1270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895B4F" w:rsidRPr="00200430" w:rsidRDefault="00895B4F" w:rsidP="00895B4F">
      <w:pPr>
        <w:pStyle w:val="a5"/>
        <w:tabs>
          <w:tab w:val="left" w:pos="142"/>
        </w:tabs>
        <w:ind w:right="-1"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</w:p>
    <w:p w:rsidR="00895B4F" w:rsidRPr="004435BE" w:rsidRDefault="00895B4F" w:rsidP="004435BE">
      <w:pPr>
        <w:jc w:val="center"/>
        <w:rPr>
          <w:b/>
          <w:lang w:val="ro-RO"/>
        </w:rPr>
      </w:pPr>
      <w:r w:rsidRPr="004435BE">
        <w:rPr>
          <w:b/>
          <w:lang w:val="ro-RO"/>
        </w:rPr>
        <w:t xml:space="preserve">Datele statistice pe cauzele și materiale </w:t>
      </w:r>
      <w:r w:rsidR="00850420" w:rsidRPr="004435BE">
        <w:rPr>
          <w:b/>
          <w:lang w:val="ro-RO"/>
        </w:rPr>
        <w:t>contravenționale</w:t>
      </w:r>
      <w:r w:rsidRPr="004435BE">
        <w:rPr>
          <w:b/>
          <w:lang w:val="ro-RO"/>
        </w:rPr>
        <w:t xml:space="preserve"> parvenite spre examinare în ordine de recurs din judecătoriile din </w:t>
      </w:r>
      <w:r w:rsidR="00850420" w:rsidRPr="004435BE">
        <w:rPr>
          <w:b/>
          <w:lang w:val="ro-RO"/>
        </w:rPr>
        <w:t>circumscripția</w:t>
      </w:r>
      <w:r w:rsidRPr="004435BE">
        <w:rPr>
          <w:b/>
          <w:lang w:val="ro-RO"/>
        </w:rPr>
        <w:t xml:space="preserve"> </w:t>
      </w:r>
      <w:r w:rsidR="00850420" w:rsidRPr="004435BE">
        <w:rPr>
          <w:b/>
          <w:lang w:val="ro-RO"/>
        </w:rPr>
        <w:t>Curții</w:t>
      </w:r>
      <w:r w:rsidRPr="004435BE">
        <w:rPr>
          <w:b/>
          <w:lang w:val="ro-RO"/>
        </w:rPr>
        <w:t xml:space="preserve"> de Apel Cahul și alte instanțe</w:t>
      </w:r>
    </w:p>
    <w:p w:rsidR="00895B4F" w:rsidRPr="00200430" w:rsidRDefault="00895B4F" w:rsidP="00895B4F">
      <w:pPr>
        <w:pStyle w:val="a5"/>
        <w:tabs>
          <w:tab w:val="left" w:pos="142"/>
        </w:tabs>
        <w:ind w:right="-1" w:firstLine="567"/>
        <w:jc w:val="both"/>
        <w:rPr>
          <w:rFonts w:ascii="Times New Roman" w:hAnsi="Times New Roman"/>
          <w:i/>
          <w:color w:val="000000" w:themeColor="text1"/>
          <w:sz w:val="24"/>
          <w:szCs w:val="24"/>
          <w:lang w:val="ro-RO"/>
        </w:rPr>
      </w:pPr>
    </w:p>
    <w:p w:rsidR="00895B4F" w:rsidRPr="00200430" w:rsidRDefault="00895B4F" w:rsidP="004435BE">
      <w:pPr>
        <w:rPr>
          <w:lang w:val="ro-RO"/>
        </w:rPr>
      </w:pPr>
      <w:r w:rsidRPr="00200430">
        <w:rPr>
          <w:lang w:val="ro-RO"/>
        </w:rPr>
        <w:t xml:space="preserve">Datele statistice pe </w:t>
      </w:r>
      <w:r w:rsidRPr="00200430">
        <w:rPr>
          <w:i/>
          <w:lang w:val="ro-RO"/>
        </w:rPr>
        <w:t>cauzele și materiale contravenționale</w:t>
      </w:r>
      <w:r w:rsidRPr="00200430">
        <w:rPr>
          <w:lang w:val="ro-RO"/>
        </w:rPr>
        <w:t xml:space="preserve">  parvenite spre examinare </w:t>
      </w:r>
      <w:r w:rsidRPr="00200430">
        <w:rPr>
          <w:i/>
          <w:lang w:val="ro-RO"/>
        </w:rPr>
        <w:t>în ordine de recurs</w:t>
      </w:r>
      <w:r w:rsidRPr="00200430">
        <w:rPr>
          <w:lang w:val="ro-RO"/>
        </w:rPr>
        <w:t xml:space="preserve"> din fiecare judecătorie din </w:t>
      </w:r>
      <w:r w:rsidR="00850420" w:rsidRPr="00200430">
        <w:rPr>
          <w:lang w:val="ro-RO"/>
        </w:rPr>
        <w:t>circumscripția</w:t>
      </w:r>
      <w:r w:rsidRPr="00200430">
        <w:rPr>
          <w:lang w:val="ro-RO"/>
        </w:rPr>
        <w:t xml:space="preserve"> </w:t>
      </w:r>
      <w:r w:rsidR="00850420" w:rsidRPr="00200430">
        <w:rPr>
          <w:lang w:val="ro-RO"/>
        </w:rPr>
        <w:t>Curții</w:t>
      </w:r>
      <w:r w:rsidRPr="00200430">
        <w:rPr>
          <w:lang w:val="ro-RO"/>
        </w:rPr>
        <w:t xml:space="preserve"> de Apel Cahul </w:t>
      </w:r>
      <w:r w:rsidR="00850420" w:rsidRPr="00200430">
        <w:rPr>
          <w:lang w:val="ro-RO"/>
        </w:rPr>
        <w:t>și</w:t>
      </w:r>
      <w:r w:rsidRPr="00200430">
        <w:rPr>
          <w:lang w:val="ro-RO"/>
        </w:rPr>
        <w:t xml:space="preserve"> alte instanțe, rezultatele examinării  în perioada </w:t>
      </w:r>
      <w:r w:rsidR="005F0920" w:rsidRPr="00200430">
        <w:rPr>
          <w:lang w:val="ro-RO"/>
        </w:rPr>
        <w:t>6</w:t>
      </w:r>
      <w:r w:rsidRPr="00200430">
        <w:rPr>
          <w:lang w:val="ro-RO"/>
        </w:rPr>
        <w:t xml:space="preserve"> luni a anului 201</w:t>
      </w:r>
      <w:r w:rsidR="000A4BA2" w:rsidRPr="00200430">
        <w:rPr>
          <w:lang w:val="ro-RO"/>
        </w:rPr>
        <w:t>6</w:t>
      </w:r>
      <w:r w:rsidRPr="00200430">
        <w:rPr>
          <w:lang w:val="ro-RO"/>
        </w:rPr>
        <w:t xml:space="preserve"> sînt următoarele:</w:t>
      </w:r>
    </w:p>
    <w:p w:rsidR="00895B4F" w:rsidRPr="00200430" w:rsidRDefault="00895B4F" w:rsidP="00895B4F">
      <w:pPr>
        <w:pStyle w:val="a5"/>
        <w:tabs>
          <w:tab w:val="left" w:pos="142"/>
        </w:tabs>
        <w:ind w:right="-1"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</w:pPr>
      <w:r w:rsidRPr="00200430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ab/>
      </w:r>
    </w:p>
    <w:p w:rsidR="00895B4F" w:rsidRPr="004435BE" w:rsidRDefault="00895B4F" w:rsidP="004435BE">
      <w:pPr>
        <w:rPr>
          <w:rFonts w:cs="Times New Roman"/>
          <w:lang w:val="ro-RO"/>
        </w:rPr>
      </w:pPr>
      <w:r w:rsidRPr="004435BE">
        <w:rPr>
          <w:rFonts w:cs="Times New Roman"/>
          <w:b/>
          <w:u w:val="single"/>
          <w:lang w:val="ro-RO"/>
        </w:rPr>
        <w:t>Judecătoria Cahul</w:t>
      </w:r>
      <w:r w:rsidRPr="004435BE">
        <w:rPr>
          <w:rFonts w:cs="Times New Roman"/>
          <w:lang w:val="ro-RO"/>
        </w:rPr>
        <w:t xml:space="preserve"> – examinate – </w:t>
      </w:r>
      <w:r w:rsidR="00604BCF" w:rsidRPr="004435BE">
        <w:rPr>
          <w:rFonts w:cs="Times New Roman"/>
          <w:b/>
          <w:lang w:val="ro-RO"/>
        </w:rPr>
        <w:t>73</w:t>
      </w:r>
      <w:r w:rsidRPr="004435BE">
        <w:rPr>
          <w:rFonts w:cs="Times New Roman"/>
          <w:lang w:val="ro-RO"/>
        </w:rPr>
        <w:t xml:space="preserve"> cauze (Nr. persoane - </w:t>
      </w:r>
      <w:r w:rsidR="00604BCF" w:rsidRPr="004435BE">
        <w:rPr>
          <w:rFonts w:cs="Times New Roman"/>
          <w:b/>
          <w:lang w:val="ro-RO"/>
        </w:rPr>
        <w:t>73</w:t>
      </w:r>
      <w:r w:rsidRPr="004435BE">
        <w:rPr>
          <w:rFonts w:cs="Times New Roman"/>
          <w:lang w:val="ro-RO"/>
        </w:rPr>
        <w:t xml:space="preserve">), cu </w:t>
      </w:r>
      <w:r w:rsidR="00604BCF" w:rsidRPr="004435BE">
        <w:rPr>
          <w:rFonts w:cs="Times New Roman"/>
          <w:lang w:val="ro-RO"/>
        </w:rPr>
        <w:t>7</w:t>
      </w:r>
      <w:r w:rsidRPr="004435BE">
        <w:rPr>
          <w:rFonts w:cs="Times New Roman"/>
          <w:lang w:val="ro-RO"/>
        </w:rPr>
        <w:t xml:space="preserve"> cauze mai </w:t>
      </w:r>
      <w:r w:rsidR="004B3673" w:rsidRPr="004435BE">
        <w:rPr>
          <w:rFonts w:cs="Times New Roman"/>
          <w:lang w:val="ro-RO"/>
        </w:rPr>
        <w:t>puțin</w:t>
      </w:r>
      <w:r w:rsidRPr="004435BE">
        <w:rPr>
          <w:rFonts w:cs="Times New Roman"/>
          <w:lang w:val="ro-RO"/>
        </w:rPr>
        <w:t xml:space="preserve"> ca în </w:t>
      </w:r>
      <w:r w:rsidR="00850420" w:rsidRPr="004435BE">
        <w:rPr>
          <w:rFonts w:cs="Times New Roman"/>
          <w:lang w:val="ro-RO"/>
        </w:rPr>
        <w:t>aceeași</w:t>
      </w:r>
      <w:r w:rsidRPr="004435BE">
        <w:rPr>
          <w:rFonts w:cs="Times New Roman"/>
          <w:lang w:val="ro-RO"/>
        </w:rPr>
        <w:t xml:space="preserve"> perioadă a anului 201</w:t>
      </w:r>
      <w:r w:rsidR="000A4BA2" w:rsidRPr="004435BE">
        <w:rPr>
          <w:rFonts w:cs="Times New Roman"/>
          <w:lang w:val="ro-RO"/>
        </w:rPr>
        <w:t>5</w:t>
      </w:r>
      <w:r w:rsidRPr="004435BE">
        <w:rPr>
          <w:rFonts w:cs="Times New Roman"/>
          <w:lang w:val="ro-RO"/>
        </w:rPr>
        <w:t>.</w:t>
      </w:r>
    </w:p>
    <w:p w:rsidR="00895B4F" w:rsidRPr="004435BE" w:rsidRDefault="00895B4F" w:rsidP="004435BE">
      <w:pPr>
        <w:pStyle w:val="ac"/>
        <w:numPr>
          <w:ilvl w:val="0"/>
          <w:numId w:val="35"/>
        </w:numPr>
        <w:rPr>
          <w:rFonts w:ascii="Times New Roman" w:hAnsi="Times New Roman"/>
          <w:lang w:val="ro-RO"/>
        </w:rPr>
      </w:pPr>
      <w:r w:rsidRPr="004435BE">
        <w:rPr>
          <w:rFonts w:ascii="Times New Roman" w:hAnsi="Times New Roman"/>
          <w:lang w:val="ro-RO"/>
        </w:rPr>
        <w:t xml:space="preserve">menținute fără modificări – </w:t>
      </w:r>
      <w:r w:rsidR="00604BCF" w:rsidRPr="004435BE">
        <w:rPr>
          <w:rFonts w:ascii="Times New Roman" w:hAnsi="Times New Roman"/>
          <w:b/>
          <w:lang w:val="ro-RO"/>
        </w:rPr>
        <w:t>48</w:t>
      </w:r>
      <w:r w:rsidRPr="004435BE">
        <w:rPr>
          <w:rFonts w:ascii="Times New Roman" w:hAnsi="Times New Roman"/>
          <w:lang w:val="ro-RO"/>
        </w:rPr>
        <w:t xml:space="preserve"> cauze (</w:t>
      </w:r>
      <w:r w:rsidR="00604BCF" w:rsidRPr="004435BE">
        <w:rPr>
          <w:rFonts w:ascii="Times New Roman" w:hAnsi="Times New Roman"/>
          <w:lang w:val="ro-RO"/>
        </w:rPr>
        <w:t>65,75</w:t>
      </w:r>
      <w:r w:rsidRPr="004435BE">
        <w:rPr>
          <w:rFonts w:ascii="Times New Roman" w:hAnsi="Times New Roman"/>
          <w:lang w:val="ro-RO"/>
        </w:rPr>
        <w:t xml:space="preserve">%), cu </w:t>
      </w:r>
      <w:r w:rsidR="00604BCF" w:rsidRPr="004435BE">
        <w:rPr>
          <w:rFonts w:ascii="Times New Roman" w:hAnsi="Times New Roman"/>
          <w:lang w:val="ro-RO"/>
        </w:rPr>
        <w:t>2</w:t>
      </w:r>
      <w:r w:rsidRPr="004435BE">
        <w:rPr>
          <w:rFonts w:ascii="Times New Roman" w:hAnsi="Times New Roman"/>
          <w:lang w:val="ro-RO"/>
        </w:rPr>
        <w:t xml:space="preserve"> cauz</w:t>
      </w:r>
      <w:r w:rsidR="00604BCF" w:rsidRPr="004435BE">
        <w:rPr>
          <w:rFonts w:ascii="Times New Roman" w:hAnsi="Times New Roman"/>
          <w:lang w:val="ro-RO"/>
        </w:rPr>
        <w:t>e</w:t>
      </w:r>
      <w:r w:rsidRPr="004435BE">
        <w:rPr>
          <w:rFonts w:ascii="Times New Roman" w:hAnsi="Times New Roman"/>
          <w:lang w:val="ro-RO"/>
        </w:rPr>
        <w:t xml:space="preserve"> mai </w:t>
      </w:r>
      <w:r w:rsidR="004B3673" w:rsidRPr="004435BE">
        <w:rPr>
          <w:rFonts w:ascii="Times New Roman" w:hAnsi="Times New Roman"/>
          <w:lang w:val="ro-RO"/>
        </w:rPr>
        <w:t>puțin</w:t>
      </w:r>
      <w:r w:rsidRPr="004435BE">
        <w:rPr>
          <w:rFonts w:ascii="Times New Roman" w:hAnsi="Times New Roman"/>
          <w:lang w:val="ro-RO"/>
        </w:rPr>
        <w:t xml:space="preserve"> ca în </w:t>
      </w:r>
      <w:r w:rsidR="00850420" w:rsidRPr="004435BE">
        <w:rPr>
          <w:rFonts w:ascii="Times New Roman" w:hAnsi="Times New Roman"/>
          <w:lang w:val="ro-RO"/>
        </w:rPr>
        <w:t>aceeași</w:t>
      </w:r>
      <w:r w:rsidRPr="004435BE">
        <w:rPr>
          <w:rFonts w:ascii="Times New Roman" w:hAnsi="Times New Roman"/>
          <w:lang w:val="ro-RO"/>
        </w:rPr>
        <w:t xml:space="preserve"> perioadă a anului 201</w:t>
      </w:r>
      <w:r w:rsidR="000A4BA2" w:rsidRPr="004435BE">
        <w:rPr>
          <w:rFonts w:ascii="Times New Roman" w:hAnsi="Times New Roman"/>
          <w:lang w:val="ro-RO"/>
        </w:rPr>
        <w:t>5</w:t>
      </w:r>
      <w:r w:rsidRPr="004435BE">
        <w:rPr>
          <w:rFonts w:ascii="Times New Roman" w:hAnsi="Times New Roman"/>
          <w:lang w:val="ro-RO"/>
        </w:rPr>
        <w:t xml:space="preserve">. </w:t>
      </w:r>
    </w:p>
    <w:p w:rsidR="00895B4F" w:rsidRPr="004435BE" w:rsidRDefault="00604BCF" w:rsidP="004435BE">
      <w:pPr>
        <w:pStyle w:val="ac"/>
        <w:numPr>
          <w:ilvl w:val="0"/>
          <w:numId w:val="35"/>
        </w:numPr>
        <w:rPr>
          <w:rFonts w:ascii="Times New Roman" w:hAnsi="Times New Roman"/>
          <w:lang w:val="ro-RO"/>
        </w:rPr>
      </w:pPr>
      <w:r w:rsidRPr="004435BE">
        <w:rPr>
          <w:rFonts w:ascii="Times New Roman" w:hAnsi="Times New Roman"/>
          <w:lang w:val="ro-RO"/>
        </w:rPr>
        <w:t>c</w:t>
      </w:r>
      <w:r w:rsidR="00895B4F" w:rsidRPr="004435BE">
        <w:rPr>
          <w:rFonts w:ascii="Times New Roman" w:hAnsi="Times New Roman"/>
          <w:lang w:val="ro-RO"/>
        </w:rPr>
        <w:t>asate</w:t>
      </w:r>
      <w:r w:rsidRPr="004435BE">
        <w:rPr>
          <w:rFonts w:ascii="Times New Roman" w:hAnsi="Times New Roman"/>
          <w:lang w:val="ro-RO"/>
        </w:rPr>
        <w:t xml:space="preserve"> </w:t>
      </w:r>
      <w:r w:rsidR="00895B4F" w:rsidRPr="004435BE">
        <w:rPr>
          <w:rFonts w:ascii="Times New Roman" w:hAnsi="Times New Roman"/>
          <w:lang w:val="ro-RO"/>
        </w:rPr>
        <w:t xml:space="preserve">– </w:t>
      </w:r>
      <w:r w:rsidRPr="004435BE">
        <w:rPr>
          <w:rFonts w:ascii="Times New Roman" w:hAnsi="Times New Roman"/>
          <w:b/>
          <w:lang w:val="ro-RO"/>
        </w:rPr>
        <w:t xml:space="preserve">27 </w:t>
      </w:r>
      <w:r w:rsidR="00895B4F" w:rsidRPr="004435BE">
        <w:rPr>
          <w:rFonts w:ascii="Times New Roman" w:hAnsi="Times New Roman"/>
          <w:lang w:val="ro-RO"/>
        </w:rPr>
        <w:t>cauze</w:t>
      </w:r>
      <w:r w:rsidR="004435BE">
        <w:rPr>
          <w:rFonts w:ascii="Times New Roman" w:hAnsi="Times New Roman"/>
          <w:lang w:val="ro-RO"/>
        </w:rPr>
        <w:t xml:space="preserve"> </w:t>
      </w:r>
      <w:r w:rsidR="00895B4F" w:rsidRPr="004435BE">
        <w:rPr>
          <w:rFonts w:ascii="Times New Roman" w:hAnsi="Times New Roman"/>
          <w:lang w:val="ro-RO"/>
        </w:rPr>
        <w:t>(</w:t>
      </w:r>
      <w:r w:rsidRPr="004435BE">
        <w:rPr>
          <w:rFonts w:ascii="Times New Roman" w:hAnsi="Times New Roman"/>
          <w:lang w:val="ro-RO"/>
        </w:rPr>
        <w:t>34,25</w:t>
      </w:r>
      <w:r w:rsidR="00895B4F" w:rsidRPr="004435BE">
        <w:rPr>
          <w:rFonts w:ascii="Times New Roman" w:hAnsi="Times New Roman"/>
          <w:lang w:val="ro-RO"/>
        </w:rPr>
        <w:t xml:space="preserve"> %), cu </w:t>
      </w:r>
      <w:r w:rsidRPr="004435BE">
        <w:rPr>
          <w:rFonts w:ascii="Times New Roman" w:hAnsi="Times New Roman"/>
          <w:lang w:val="ro-RO"/>
        </w:rPr>
        <w:t>5</w:t>
      </w:r>
      <w:r w:rsidR="00895B4F" w:rsidRPr="004435BE">
        <w:rPr>
          <w:rFonts w:ascii="Times New Roman" w:hAnsi="Times New Roman"/>
          <w:lang w:val="ro-RO"/>
        </w:rPr>
        <w:t xml:space="preserve"> cauze mai </w:t>
      </w:r>
      <w:r w:rsidR="004B3673" w:rsidRPr="004435BE">
        <w:rPr>
          <w:rFonts w:ascii="Times New Roman" w:hAnsi="Times New Roman"/>
          <w:lang w:val="ro-RO"/>
        </w:rPr>
        <w:t>puțin</w:t>
      </w:r>
      <w:r w:rsidR="00895B4F" w:rsidRPr="004435BE">
        <w:rPr>
          <w:rFonts w:ascii="Times New Roman" w:hAnsi="Times New Roman"/>
          <w:lang w:val="ro-RO"/>
        </w:rPr>
        <w:t xml:space="preserve"> ca în </w:t>
      </w:r>
      <w:r w:rsidR="00850420" w:rsidRPr="004435BE">
        <w:rPr>
          <w:rFonts w:ascii="Times New Roman" w:hAnsi="Times New Roman"/>
          <w:lang w:val="ro-RO"/>
        </w:rPr>
        <w:t>aceeași</w:t>
      </w:r>
      <w:r w:rsidR="00895B4F" w:rsidRPr="004435BE">
        <w:rPr>
          <w:rFonts w:ascii="Times New Roman" w:hAnsi="Times New Roman"/>
          <w:lang w:val="ro-RO"/>
        </w:rPr>
        <w:t xml:space="preserve"> perioadă a anului 201</w:t>
      </w:r>
      <w:r w:rsidR="000A4BA2" w:rsidRPr="004435BE">
        <w:rPr>
          <w:rFonts w:ascii="Times New Roman" w:hAnsi="Times New Roman"/>
          <w:lang w:val="ro-RO"/>
        </w:rPr>
        <w:t>5</w:t>
      </w:r>
      <w:r w:rsidR="00895B4F" w:rsidRPr="004435BE">
        <w:rPr>
          <w:rFonts w:ascii="Times New Roman" w:hAnsi="Times New Roman"/>
          <w:lang w:val="ro-RO"/>
        </w:rPr>
        <w:t>.</w:t>
      </w:r>
    </w:p>
    <w:p w:rsidR="00895B4F" w:rsidRPr="004435BE" w:rsidRDefault="00895B4F" w:rsidP="004435BE">
      <w:pPr>
        <w:rPr>
          <w:rFonts w:cs="Times New Roman"/>
          <w:lang w:val="ro-RO"/>
        </w:rPr>
      </w:pPr>
      <w:r w:rsidRPr="004435BE">
        <w:rPr>
          <w:rFonts w:cs="Times New Roman"/>
          <w:b/>
          <w:u w:val="single"/>
          <w:lang w:val="ro-RO"/>
        </w:rPr>
        <w:t>Judecătoria Leova</w:t>
      </w:r>
      <w:r w:rsidRPr="004435BE">
        <w:rPr>
          <w:rFonts w:cs="Times New Roman"/>
          <w:lang w:val="ro-RO"/>
        </w:rPr>
        <w:t xml:space="preserve">– examinate – </w:t>
      </w:r>
      <w:r w:rsidR="00604BCF" w:rsidRPr="004435BE">
        <w:rPr>
          <w:rFonts w:cs="Times New Roman"/>
          <w:b/>
          <w:lang w:val="ro-RO"/>
        </w:rPr>
        <w:t>9</w:t>
      </w:r>
      <w:r w:rsidRPr="004435BE">
        <w:rPr>
          <w:rFonts w:cs="Times New Roman"/>
          <w:lang w:val="ro-RO"/>
        </w:rPr>
        <w:t xml:space="preserve"> cauze (Nr. persoane </w:t>
      </w:r>
      <w:r w:rsidR="00604BCF" w:rsidRPr="004435BE">
        <w:rPr>
          <w:rFonts w:cs="Times New Roman"/>
          <w:lang w:val="ro-RO"/>
        </w:rPr>
        <w:t>–</w:t>
      </w:r>
      <w:r w:rsidRPr="004435BE">
        <w:rPr>
          <w:rFonts w:cs="Times New Roman"/>
          <w:lang w:val="ro-RO"/>
        </w:rPr>
        <w:t xml:space="preserve"> </w:t>
      </w:r>
      <w:r w:rsidR="00604BCF" w:rsidRPr="004435BE">
        <w:rPr>
          <w:rFonts w:cs="Times New Roman"/>
          <w:lang w:val="ro-RO"/>
        </w:rPr>
        <w:t>9</w:t>
      </w:r>
      <w:r w:rsidRPr="004435BE">
        <w:rPr>
          <w:rFonts w:cs="Times New Roman"/>
          <w:lang w:val="ro-RO"/>
        </w:rPr>
        <w:t xml:space="preserve">), cu </w:t>
      </w:r>
      <w:r w:rsidR="00604BCF" w:rsidRPr="004435BE">
        <w:rPr>
          <w:rFonts w:cs="Times New Roman"/>
          <w:b/>
          <w:lang w:val="ro-RO"/>
        </w:rPr>
        <w:t>4</w:t>
      </w:r>
      <w:r w:rsidR="004B3673" w:rsidRPr="004435BE">
        <w:rPr>
          <w:rFonts w:cs="Times New Roman"/>
          <w:lang w:val="ro-RO"/>
        </w:rPr>
        <w:t xml:space="preserve"> cauză</w:t>
      </w:r>
      <w:r w:rsidRPr="004435BE">
        <w:rPr>
          <w:rFonts w:cs="Times New Roman"/>
          <w:lang w:val="ro-RO"/>
        </w:rPr>
        <w:t xml:space="preserve"> mai mult ca în </w:t>
      </w:r>
      <w:r w:rsidR="00850420" w:rsidRPr="004435BE">
        <w:rPr>
          <w:rFonts w:cs="Times New Roman"/>
          <w:lang w:val="ro-RO"/>
        </w:rPr>
        <w:t>aceeași</w:t>
      </w:r>
      <w:r w:rsidRPr="004435BE">
        <w:rPr>
          <w:rFonts w:cs="Times New Roman"/>
          <w:lang w:val="ro-RO"/>
        </w:rPr>
        <w:t xml:space="preserve"> perioadă a anului 201</w:t>
      </w:r>
      <w:r w:rsidR="000A4BA2" w:rsidRPr="004435BE">
        <w:rPr>
          <w:rFonts w:cs="Times New Roman"/>
          <w:lang w:val="ro-RO"/>
        </w:rPr>
        <w:t>5</w:t>
      </w:r>
      <w:r w:rsidRPr="004435BE">
        <w:rPr>
          <w:rFonts w:cs="Times New Roman"/>
          <w:lang w:val="ro-RO"/>
        </w:rPr>
        <w:t>,</w:t>
      </w:r>
    </w:p>
    <w:p w:rsidR="00895B4F" w:rsidRPr="004435BE" w:rsidRDefault="00895B4F" w:rsidP="004435BE">
      <w:pPr>
        <w:pStyle w:val="ac"/>
        <w:numPr>
          <w:ilvl w:val="0"/>
          <w:numId w:val="35"/>
        </w:numPr>
        <w:rPr>
          <w:rFonts w:ascii="Times New Roman" w:hAnsi="Times New Roman"/>
          <w:lang w:val="ro-RO"/>
        </w:rPr>
      </w:pPr>
      <w:r w:rsidRPr="004435BE">
        <w:rPr>
          <w:rFonts w:ascii="Times New Roman" w:hAnsi="Times New Roman"/>
          <w:lang w:val="ro-RO"/>
        </w:rPr>
        <w:t xml:space="preserve">menținute fără modificări – </w:t>
      </w:r>
      <w:r w:rsidR="00604BCF" w:rsidRPr="004435BE">
        <w:rPr>
          <w:rFonts w:ascii="Times New Roman" w:hAnsi="Times New Roman"/>
          <w:b/>
          <w:lang w:val="ro-RO"/>
        </w:rPr>
        <w:t xml:space="preserve">5 </w:t>
      </w:r>
      <w:r w:rsidRPr="004435BE">
        <w:rPr>
          <w:rFonts w:ascii="Times New Roman" w:hAnsi="Times New Roman"/>
          <w:lang w:val="ro-RO"/>
        </w:rPr>
        <w:t>cauze (</w:t>
      </w:r>
      <w:r w:rsidR="00604BCF" w:rsidRPr="004435BE">
        <w:rPr>
          <w:rFonts w:ascii="Times New Roman" w:hAnsi="Times New Roman"/>
          <w:lang w:val="ro-RO"/>
        </w:rPr>
        <w:t>55,56</w:t>
      </w:r>
      <w:r w:rsidRPr="004435BE">
        <w:rPr>
          <w:rFonts w:ascii="Times New Roman" w:hAnsi="Times New Roman"/>
          <w:lang w:val="ro-RO"/>
        </w:rPr>
        <w:t xml:space="preserve"> %), cu </w:t>
      </w:r>
      <w:r w:rsidR="00604BCF" w:rsidRPr="004435BE">
        <w:rPr>
          <w:rFonts w:ascii="Times New Roman" w:hAnsi="Times New Roman"/>
          <w:lang w:val="ro-RO"/>
        </w:rPr>
        <w:t>3</w:t>
      </w:r>
      <w:r w:rsidRPr="004435BE">
        <w:rPr>
          <w:rFonts w:ascii="Times New Roman" w:hAnsi="Times New Roman"/>
          <w:lang w:val="ro-RO"/>
        </w:rPr>
        <w:t xml:space="preserve"> cauze mai mult în </w:t>
      </w:r>
      <w:r w:rsidR="00850420" w:rsidRPr="004435BE">
        <w:rPr>
          <w:rFonts w:ascii="Times New Roman" w:hAnsi="Times New Roman"/>
          <w:lang w:val="ro-RO"/>
        </w:rPr>
        <w:t>aceeași</w:t>
      </w:r>
      <w:r w:rsidRPr="004435BE">
        <w:rPr>
          <w:rFonts w:ascii="Times New Roman" w:hAnsi="Times New Roman"/>
          <w:lang w:val="ro-RO"/>
        </w:rPr>
        <w:t xml:space="preserve"> perioadă a anului 201</w:t>
      </w:r>
      <w:r w:rsidR="000A4BA2" w:rsidRPr="004435BE">
        <w:rPr>
          <w:rFonts w:ascii="Times New Roman" w:hAnsi="Times New Roman"/>
          <w:lang w:val="ro-RO"/>
        </w:rPr>
        <w:t>5</w:t>
      </w:r>
      <w:r w:rsidRPr="004435BE">
        <w:rPr>
          <w:rFonts w:ascii="Times New Roman" w:hAnsi="Times New Roman"/>
          <w:lang w:val="ro-RO"/>
        </w:rPr>
        <w:t xml:space="preserve">, </w:t>
      </w:r>
    </w:p>
    <w:p w:rsidR="00895B4F" w:rsidRPr="004435BE" w:rsidRDefault="00895B4F" w:rsidP="004435BE">
      <w:pPr>
        <w:pStyle w:val="ac"/>
        <w:numPr>
          <w:ilvl w:val="0"/>
          <w:numId w:val="35"/>
        </w:numPr>
        <w:rPr>
          <w:rFonts w:ascii="Times New Roman" w:hAnsi="Times New Roman"/>
          <w:lang w:val="ro-RO"/>
        </w:rPr>
      </w:pPr>
      <w:r w:rsidRPr="004435BE">
        <w:rPr>
          <w:rFonts w:ascii="Times New Roman" w:hAnsi="Times New Roman"/>
          <w:lang w:val="ro-RO"/>
        </w:rPr>
        <w:t>casate</w:t>
      </w:r>
      <w:r w:rsidR="00604BCF" w:rsidRPr="004435BE">
        <w:rPr>
          <w:rFonts w:ascii="Times New Roman" w:hAnsi="Times New Roman"/>
          <w:lang w:val="ro-RO"/>
        </w:rPr>
        <w:t xml:space="preserve"> </w:t>
      </w:r>
      <w:r w:rsidRPr="004435BE">
        <w:rPr>
          <w:rFonts w:ascii="Times New Roman" w:hAnsi="Times New Roman"/>
          <w:lang w:val="ro-RO"/>
        </w:rPr>
        <w:t xml:space="preserve">– </w:t>
      </w:r>
      <w:r w:rsidR="00604BCF" w:rsidRPr="004435BE">
        <w:rPr>
          <w:rFonts w:ascii="Times New Roman" w:hAnsi="Times New Roman"/>
          <w:b/>
          <w:lang w:val="ro-RO"/>
        </w:rPr>
        <w:t>4</w:t>
      </w:r>
      <w:r w:rsidRPr="004435BE">
        <w:rPr>
          <w:rFonts w:ascii="Times New Roman" w:hAnsi="Times New Roman"/>
          <w:lang w:val="ro-RO"/>
        </w:rPr>
        <w:t xml:space="preserve"> cauze (</w:t>
      </w:r>
      <w:r w:rsidR="00604BCF" w:rsidRPr="004435BE">
        <w:rPr>
          <w:rFonts w:ascii="Times New Roman" w:hAnsi="Times New Roman"/>
          <w:lang w:val="ro-RO"/>
        </w:rPr>
        <w:t>44,44</w:t>
      </w:r>
      <w:r w:rsidRPr="004435BE">
        <w:rPr>
          <w:rFonts w:ascii="Times New Roman" w:hAnsi="Times New Roman"/>
          <w:lang w:val="ro-RO"/>
        </w:rPr>
        <w:t xml:space="preserve">%),  cu </w:t>
      </w:r>
      <w:r w:rsidR="004B3673" w:rsidRPr="004435BE">
        <w:rPr>
          <w:rFonts w:ascii="Times New Roman" w:hAnsi="Times New Roman"/>
          <w:lang w:val="ro-RO"/>
        </w:rPr>
        <w:t>1</w:t>
      </w:r>
      <w:r w:rsidRPr="004435BE">
        <w:rPr>
          <w:rFonts w:ascii="Times New Roman" w:hAnsi="Times New Roman"/>
          <w:lang w:val="ro-RO"/>
        </w:rPr>
        <w:t xml:space="preserve"> cauz</w:t>
      </w:r>
      <w:r w:rsidR="004B3673" w:rsidRPr="004435BE">
        <w:rPr>
          <w:rFonts w:ascii="Times New Roman" w:hAnsi="Times New Roman"/>
          <w:lang w:val="ro-RO"/>
        </w:rPr>
        <w:t>ă</w:t>
      </w:r>
      <w:r w:rsidRPr="004435BE">
        <w:rPr>
          <w:rFonts w:ascii="Times New Roman" w:hAnsi="Times New Roman"/>
          <w:lang w:val="ro-RO"/>
        </w:rPr>
        <w:t xml:space="preserve"> mai</w:t>
      </w:r>
      <w:r w:rsidR="00604BCF" w:rsidRPr="004435BE">
        <w:rPr>
          <w:rFonts w:ascii="Times New Roman" w:hAnsi="Times New Roman"/>
          <w:lang w:val="ro-RO"/>
        </w:rPr>
        <w:t xml:space="preserve"> mult</w:t>
      </w:r>
      <w:r w:rsidRPr="004435BE">
        <w:rPr>
          <w:rFonts w:ascii="Times New Roman" w:hAnsi="Times New Roman"/>
          <w:lang w:val="ro-RO"/>
        </w:rPr>
        <w:t xml:space="preserve"> ca în </w:t>
      </w:r>
      <w:r w:rsidR="00850420" w:rsidRPr="004435BE">
        <w:rPr>
          <w:rFonts w:ascii="Times New Roman" w:hAnsi="Times New Roman"/>
          <w:lang w:val="ro-RO"/>
        </w:rPr>
        <w:t>aceeași</w:t>
      </w:r>
      <w:r w:rsidRPr="004435BE">
        <w:rPr>
          <w:rFonts w:ascii="Times New Roman" w:hAnsi="Times New Roman"/>
          <w:lang w:val="ro-RO"/>
        </w:rPr>
        <w:t xml:space="preserve"> perioadă a anului 201</w:t>
      </w:r>
      <w:r w:rsidR="000A4BA2" w:rsidRPr="004435BE">
        <w:rPr>
          <w:rFonts w:ascii="Times New Roman" w:hAnsi="Times New Roman"/>
          <w:lang w:val="ro-RO"/>
        </w:rPr>
        <w:t>5</w:t>
      </w:r>
      <w:r w:rsidRPr="004435BE">
        <w:rPr>
          <w:rFonts w:ascii="Times New Roman" w:hAnsi="Times New Roman"/>
          <w:lang w:val="ro-RO"/>
        </w:rPr>
        <w:t>.</w:t>
      </w:r>
    </w:p>
    <w:p w:rsidR="00D51CFA" w:rsidRPr="004435BE" w:rsidRDefault="00895B4F" w:rsidP="004435BE">
      <w:pPr>
        <w:rPr>
          <w:rFonts w:cs="Times New Roman"/>
          <w:lang w:val="ro-RO"/>
        </w:rPr>
      </w:pPr>
      <w:r w:rsidRPr="004435BE">
        <w:rPr>
          <w:rFonts w:cs="Times New Roman"/>
          <w:b/>
          <w:u w:val="single"/>
          <w:lang w:val="ro-RO"/>
        </w:rPr>
        <w:t>Judecătoria Cantemir</w:t>
      </w:r>
      <w:r w:rsidRPr="004435BE">
        <w:rPr>
          <w:rFonts w:cs="Times New Roman"/>
          <w:lang w:val="ro-RO"/>
        </w:rPr>
        <w:t xml:space="preserve"> – examinate – </w:t>
      </w:r>
      <w:r w:rsidR="00604BCF" w:rsidRPr="004435BE">
        <w:rPr>
          <w:rFonts w:cs="Times New Roman"/>
          <w:b/>
          <w:lang w:val="ro-RO"/>
        </w:rPr>
        <w:t>15</w:t>
      </w:r>
      <w:r w:rsidR="000A4BA2" w:rsidRPr="004435BE">
        <w:rPr>
          <w:rFonts w:cs="Times New Roman"/>
          <w:b/>
          <w:lang w:val="ro-RO"/>
        </w:rPr>
        <w:t xml:space="preserve"> </w:t>
      </w:r>
      <w:r w:rsidRPr="004435BE">
        <w:rPr>
          <w:rFonts w:cs="Times New Roman"/>
          <w:lang w:val="ro-RO"/>
        </w:rPr>
        <w:t xml:space="preserve">cauze (Nr. persoane - </w:t>
      </w:r>
      <w:r w:rsidR="00604BCF" w:rsidRPr="004435BE">
        <w:rPr>
          <w:rFonts w:cs="Times New Roman"/>
          <w:b/>
          <w:lang w:val="ro-RO"/>
        </w:rPr>
        <w:t>15</w:t>
      </w:r>
      <w:r w:rsidRPr="004435BE">
        <w:rPr>
          <w:rFonts w:cs="Times New Roman"/>
          <w:lang w:val="ro-RO"/>
        </w:rPr>
        <w:t xml:space="preserve"> ), cu </w:t>
      </w:r>
      <w:r w:rsidR="00604BCF" w:rsidRPr="004435BE">
        <w:rPr>
          <w:rFonts w:cs="Times New Roman"/>
          <w:b/>
          <w:lang w:val="ro-RO"/>
        </w:rPr>
        <w:t>3</w:t>
      </w:r>
      <w:r w:rsidRPr="004435BE">
        <w:rPr>
          <w:rFonts w:cs="Times New Roman"/>
          <w:lang w:val="ro-RO"/>
        </w:rPr>
        <w:t xml:space="preserve"> cauz</w:t>
      </w:r>
      <w:r w:rsidR="00604BCF" w:rsidRPr="004435BE">
        <w:rPr>
          <w:rFonts w:cs="Times New Roman"/>
          <w:lang w:val="ro-RO"/>
        </w:rPr>
        <w:t>e</w:t>
      </w:r>
      <w:r w:rsidRPr="004435BE">
        <w:rPr>
          <w:rFonts w:cs="Times New Roman"/>
          <w:lang w:val="ro-RO"/>
        </w:rPr>
        <w:t xml:space="preserve"> mai </w:t>
      </w:r>
      <w:r w:rsidR="004B3673" w:rsidRPr="004435BE">
        <w:rPr>
          <w:rFonts w:cs="Times New Roman"/>
          <w:lang w:val="ro-RO"/>
        </w:rPr>
        <w:t xml:space="preserve">puțin </w:t>
      </w:r>
      <w:r w:rsidRPr="004435BE">
        <w:rPr>
          <w:rFonts w:cs="Times New Roman"/>
          <w:lang w:val="ro-RO"/>
        </w:rPr>
        <w:t xml:space="preserve">ca în </w:t>
      </w:r>
      <w:r w:rsidR="00850420" w:rsidRPr="004435BE">
        <w:rPr>
          <w:rFonts w:cs="Times New Roman"/>
          <w:lang w:val="ro-RO"/>
        </w:rPr>
        <w:t>aceeași</w:t>
      </w:r>
      <w:r w:rsidRPr="004435BE">
        <w:rPr>
          <w:rFonts w:cs="Times New Roman"/>
          <w:lang w:val="ro-RO"/>
        </w:rPr>
        <w:t xml:space="preserve"> perioadă a anului 201</w:t>
      </w:r>
      <w:r w:rsidR="000A4BA2" w:rsidRPr="004435BE">
        <w:rPr>
          <w:rFonts w:cs="Times New Roman"/>
          <w:lang w:val="ro-RO"/>
        </w:rPr>
        <w:t>5</w:t>
      </w:r>
      <w:r w:rsidR="00D51CFA" w:rsidRPr="004435BE">
        <w:rPr>
          <w:rFonts w:cs="Times New Roman"/>
          <w:lang w:val="ro-RO"/>
        </w:rPr>
        <w:t>,</w:t>
      </w:r>
    </w:p>
    <w:p w:rsidR="00D51CFA" w:rsidRPr="004435BE" w:rsidRDefault="00895B4F" w:rsidP="004435BE">
      <w:pPr>
        <w:pStyle w:val="ac"/>
        <w:numPr>
          <w:ilvl w:val="0"/>
          <w:numId w:val="35"/>
        </w:numPr>
        <w:rPr>
          <w:rFonts w:ascii="Times New Roman" w:hAnsi="Times New Roman"/>
          <w:lang w:val="ro-RO"/>
        </w:rPr>
      </w:pPr>
      <w:r w:rsidRPr="004435BE">
        <w:rPr>
          <w:rFonts w:ascii="Times New Roman" w:hAnsi="Times New Roman"/>
          <w:lang w:val="ro-RO"/>
        </w:rPr>
        <w:t xml:space="preserve">menținute fără modificări – </w:t>
      </w:r>
      <w:r w:rsidR="00604BCF" w:rsidRPr="004435BE">
        <w:rPr>
          <w:rFonts w:ascii="Times New Roman" w:hAnsi="Times New Roman"/>
          <w:b/>
          <w:lang w:val="ro-RO"/>
        </w:rPr>
        <w:t xml:space="preserve">8 </w:t>
      </w:r>
      <w:r w:rsidRPr="004435BE">
        <w:rPr>
          <w:rFonts w:ascii="Times New Roman" w:hAnsi="Times New Roman"/>
          <w:lang w:val="ro-RO"/>
        </w:rPr>
        <w:t>cauze (</w:t>
      </w:r>
      <w:r w:rsidR="00604BCF" w:rsidRPr="004435BE">
        <w:rPr>
          <w:rFonts w:ascii="Times New Roman" w:hAnsi="Times New Roman"/>
          <w:lang w:val="ro-RO"/>
        </w:rPr>
        <w:t>53,33</w:t>
      </w:r>
      <w:r w:rsidRPr="004435BE">
        <w:rPr>
          <w:rFonts w:ascii="Times New Roman" w:hAnsi="Times New Roman"/>
          <w:lang w:val="ro-RO"/>
        </w:rPr>
        <w:t xml:space="preserve"> %) cu </w:t>
      </w:r>
      <w:r w:rsidR="00604BCF" w:rsidRPr="004435BE">
        <w:rPr>
          <w:rFonts w:ascii="Times New Roman" w:hAnsi="Times New Roman"/>
          <w:lang w:val="ro-RO"/>
        </w:rPr>
        <w:t>4</w:t>
      </w:r>
      <w:r w:rsidRPr="004435BE">
        <w:rPr>
          <w:rFonts w:ascii="Times New Roman" w:hAnsi="Times New Roman"/>
          <w:lang w:val="ro-RO"/>
        </w:rPr>
        <w:t xml:space="preserve"> cauze mai </w:t>
      </w:r>
      <w:r w:rsidR="004B3673" w:rsidRPr="004435BE">
        <w:rPr>
          <w:rFonts w:ascii="Times New Roman" w:hAnsi="Times New Roman"/>
          <w:lang w:val="ro-RO"/>
        </w:rPr>
        <w:t>puțin</w:t>
      </w:r>
      <w:r w:rsidRPr="004435BE">
        <w:rPr>
          <w:rFonts w:ascii="Times New Roman" w:hAnsi="Times New Roman"/>
          <w:lang w:val="ro-RO"/>
        </w:rPr>
        <w:t xml:space="preserve"> ca în </w:t>
      </w:r>
      <w:r w:rsidR="00850420" w:rsidRPr="004435BE">
        <w:rPr>
          <w:rFonts w:ascii="Times New Roman" w:hAnsi="Times New Roman"/>
          <w:lang w:val="ro-RO"/>
        </w:rPr>
        <w:t>aceeași</w:t>
      </w:r>
      <w:r w:rsidRPr="004435BE">
        <w:rPr>
          <w:rFonts w:ascii="Times New Roman" w:hAnsi="Times New Roman"/>
          <w:lang w:val="ro-RO"/>
        </w:rPr>
        <w:t xml:space="preserve"> perioadă a anului 201</w:t>
      </w:r>
      <w:r w:rsidR="000A4BA2" w:rsidRPr="004435BE">
        <w:rPr>
          <w:rFonts w:ascii="Times New Roman" w:hAnsi="Times New Roman"/>
          <w:lang w:val="ro-RO"/>
        </w:rPr>
        <w:t>5</w:t>
      </w:r>
      <w:r w:rsidR="00D51CFA" w:rsidRPr="004435BE">
        <w:rPr>
          <w:rFonts w:ascii="Times New Roman" w:hAnsi="Times New Roman"/>
          <w:lang w:val="ro-RO"/>
        </w:rPr>
        <w:t xml:space="preserve">, </w:t>
      </w:r>
    </w:p>
    <w:p w:rsidR="00895B4F" w:rsidRPr="004435BE" w:rsidRDefault="00895B4F" w:rsidP="004435BE">
      <w:pPr>
        <w:pStyle w:val="ac"/>
        <w:numPr>
          <w:ilvl w:val="0"/>
          <w:numId w:val="35"/>
        </w:numPr>
        <w:rPr>
          <w:rFonts w:ascii="Times New Roman" w:hAnsi="Times New Roman"/>
          <w:lang w:val="ro-RO"/>
        </w:rPr>
      </w:pPr>
      <w:r w:rsidRPr="004435BE">
        <w:rPr>
          <w:rFonts w:ascii="Times New Roman" w:hAnsi="Times New Roman"/>
          <w:lang w:val="ro-RO"/>
        </w:rPr>
        <w:t xml:space="preserve">casate – </w:t>
      </w:r>
      <w:r w:rsidR="00604BCF" w:rsidRPr="004435BE">
        <w:rPr>
          <w:rFonts w:ascii="Times New Roman" w:hAnsi="Times New Roman"/>
          <w:b/>
          <w:lang w:val="ro-RO"/>
        </w:rPr>
        <w:t>7</w:t>
      </w:r>
      <w:r w:rsidR="000A4BA2" w:rsidRPr="004435BE">
        <w:rPr>
          <w:rFonts w:ascii="Times New Roman" w:hAnsi="Times New Roman"/>
          <w:b/>
          <w:lang w:val="ro-RO"/>
        </w:rPr>
        <w:t xml:space="preserve"> </w:t>
      </w:r>
      <w:r w:rsidRPr="004435BE">
        <w:rPr>
          <w:rFonts w:ascii="Times New Roman" w:hAnsi="Times New Roman"/>
          <w:lang w:val="ro-RO"/>
        </w:rPr>
        <w:t>cauze (</w:t>
      </w:r>
      <w:r w:rsidR="00604BCF" w:rsidRPr="004435BE">
        <w:rPr>
          <w:rFonts w:ascii="Times New Roman" w:hAnsi="Times New Roman"/>
          <w:lang w:val="ro-RO"/>
        </w:rPr>
        <w:t>46,67</w:t>
      </w:r>
      <w:r w:rsidRPr="004435BE">
        <w:rPr>
          <w:rFonts w:ascii="Times New Roman" w:hAnsi="Times New Roman"/>
          <w:lang w:val="ro-RO"/>
        </w:rPr>
        <w:t xml:space="preserve"> %), cu </w:t>
      </w:r>
      <w:r w:rsidR="004B3673" w:rsidRPr="004435BE">
        <w:rPr>
          <w:rFonts w:ascii="Times New Roman" w:hAnsi="Times New Roman"/>
          <w:b/>
          <w:lang w:val="ro-RO"/>
        </w:rPr>
        <w:t>1</w:t>
      </w:r>
      <w:r w:rsidRPr="004435BE">
        <w:rPr>
          <w:rFonts w:ascii="Times New Roman" w:hAnsi="Times New Roman"/>
          <w:lang w:val="ro-RO"/>
        </w:rPr>
        <w:t xml:space="preserve"> cauz</w:t>
      </w:r>
      <w:r w:rsidR="004B3673" w:rsidRPr="004435BE">
        <w:rPr>
          <w:rFonts w:ascii="Times New Roman" w:hAnsi="Times New Roman"/>
          <w:lang w:val="ro-RO"/>
        </w:rPr>
        <w:t>ă</w:t>
      </w:r>
      <w:r w:rsidRPr="004435BE">
        <w:rPr>
          <w:rFonts w:ascii="Times New Roman" w:hAnsi="Times New Roman"/>
          <w:lang w:val="ro-RO"/>
        </w:rPr>
        <w:t xml:space="preserve"> mai mult ca în </w:t>
      </w:r>
      <w:r w:rsidR="00850420" w:rsidRPr="004435BE">
        <w:rPr>
          <w:rFonts w:ascii="Times New Roman" w:hAnsi="Times New Roman"/>
          <w:lang w:val="ro-RO"/>
        </w:rPr>
        <w:t>aceeași</w:t>
      </w:r>
      <w:r w:rsidRPr="004435BE">
        <w:rPr>
          <w:rFonts w:ascii="Times New Roman" w:hAnsi="Times New Roman"/>
          <w:lang w:val="ro-RO"/>
        </w:rPr>
        <w:t xml:space="preserve"> perioadă a anului 201</w:t>
      </w:r>
      <w:r w:rsidR="000A4BA2" w:rsidRPr="004435BE">
        <w:rPr>
          <w:rFonts w:ascii="Times New Roman" w:hAnsi="Times New Roman"/>
          <w:lang w:val="ro-RO"/>
        </w:rPr>
        <w:t>5</w:t>
      </w:r>
      <w:r w:rsidRPr="004435BE">
        <w:rPr>
          <w:rFonts w:ascii="Times New Roman" w:hAnsi="Times New Roman"/>
          <w:lang w:val="ro-RO"/>
        </w:rPr>
        <w:t>.</w:t>
      </w:r>
    </w:p>
    <w:p w:rsidR="00895B4F" w:rsidRPr="004435BE" w:rsidRDefault="00895B4F" w:rsidP="004435BE">
      <w:pPr>
        <w:rPr>
          <w:rFonts w:cs="Times New Roman"/>
          <w:lang w:val="ro-RO"/>
        </w:rPr>
      </w:pPr>
      <w:r w:rsidRPr="004435BE">
        <w:rPr>
          <w:rFonts w:cs="Times New Roman"/>
          <w:b/>
          <w:u w:val="single"/>
          <w:lang w:val="ro-RO"/>
        </w:rPr>
        <w:t xml:space="preserve">Judecătoria Taraclia </w:t>
      </w:r>
      <w:r w:rsidRPr="004435BE">
        <w:rPr>
          <w:rFonts w:cs="Times New Roman"/>
          <w:lang w:val="ro-RO"/>
        </w:rPr>
        <w:t xml:space="preserve">– examinate – </w:t>
      </w:r>
      <w:r w:rsidR="00604BCF" w:rsidRPr="004435BE">
        <w:rPr>
          <w:rFonts w:cs="Times New Roman"/>
          <w:b/>
          <w:lang w:val="ro-RO"/>
        </w:rPr>
        <w:t>13</w:t>
      </w:r>
      <w:r w:rsidR="00604BCF" w:rsidRPr="004435BE">
        <w:rPr>
          <w:rFonts w:cs="Times New Roman"/>
          <w:lang w:val="ro-RO"/>
        </w:rPr>
        <w:t xml:space="preserve"> cauze (Nr. persoane -13</w:t>
      </w:r>
      <w:r w:rsidRPr="004435BE">
        <w:rPr>
          <w:rFonts w:cs="Times New Roman"/>
          <w:lang w:val="ro-RO"/>
        </w:rPr>
        <w:t xml:space="preserve"> ), cu </w:t>
      </w:r>
      <w:r w:rsidR="004B3673" w:rsidRPr="004435BE">
        <w:rPr>
          <w:rFonts w:cs="Times New Roman"/>
          <w:lang w:val="ro-RO"/>
        </w:rPr>
        <w:t>2</w:t>
      </w:r>
      <w:r w:rsidRPr="004435BE">
        <w:rPr>
          <w:rFonts w:cs="Times New Roman"/>
          <w:lang w:val="ro-RO"/>
        </w:rPr>
        <w:t xml:space="preserve"> cauze mai </w:t>
      </w:r>
      <w:r w:rsidR="00604BCF" w:rsidRPr="004435BE">
        <w:rPr>
          <w:rFonts w:cs="Times New Roman"/>
          <w:lang w:val="ro-RO"/>
        </w:rPr>
        <w:t>mult</w:t>
      </w:r>
      <w:r w:rsidRPr="004435BE">
        <w:rPr>
          <w:rFonts w:cs="Times New Roman"/>
          <w:lang w:val="ro-RO"/>
        </w:rPr>
        <w:t xml:space="preserve"> ca în </w:t>
      </w:r>
      <w:r w:rsidR="00850420" w:rsidRPr="004435BE">
        <w:rPr>
          <w:rFonts w:cs="Times New Roman"/>
          <w:lang w:val="ro-RO"/>
        </w:rPr>
        <w:t>aceeași</w:t>
      </w:r>
      <w:r w:rsidRPr="004435BE">
        <w:rPr>
          <w:rFonts w:cs="Times New Roman"/>
          <w:lang w:val="ro-RO"/>
        </w:rPr>
        <w:t xml:space="preserve"> perioadă a anului 201</w:t>
      </w:r>
      <w:r w:rsidR="000A4BA2" w:rsidRPr="004435BE">
        <w:rPr>
          <w:rFonts w:cs="Times New Roman"/>
          <w:lang w:val="ro-RO"/>
        </w:rPr>
        <w:t>5</w:t>
      </w:r>
      <w:r w:rsidRPr="004435BE">
        <w:rPr>
          <w:rFonts w:cs="Times New Roman"/>
          <w:lang w:val="ro-RO"/>
        </w:rPr>
        <w:t>,</w:t>
      </w:r>
    </w:p>
    <w:p w:rsidR="004B3673" w:rsidRPr="004435BE" w:rsidRDefault="00895B4F" w:rsidP="004435BE">
      <w:pPr>
        <w:pStyle w:val="ac"/>
        <w:numPr>
          <w:ilvl w:val="0"/>
          <w:numId w:val="35"/>
        </w:numPr>
        <w:rPr>
          <w:rFonts w:ascii="Times New Roman" w:hAnsi="Times New Roman"/>
          <w:lang w:val="ro-RO"/>
        </w:rPr>
      </w:pPr>
      <w:r w:rsidRPr="004435BE">
        <w:rPr>
          <w:rFonts w:ascii="Times New Roman" w:hAnsi="Times New Roman"/>
          <w:lang w:val="ro-RO"/>
        </w:rPr>
        <w:t>menținute fără modificări –</w:t>
      </w:r>
      <w:r w:rsidR="00604BCF" w:rsidRPr="004435BE">
        <w:rPr>
          <w:rFonts w:ascii="Times New Roman" w:hAnsi="Times New Roman"/>
          <w:lang w:val="ro-RO"/>
        </w:rPr>
        <w:t xml:space="preserve"> </w:t>
      </w:r>
      <w:r w:rsidR="00604BCF" w:rsidRPr="004435BE">
        <w:rPr>
          <w:rFonts w:ascii="Times New Roman" w:hAnsi="Times New Roman"/>
          <w:b/>
          <w:lang w:val="ro-RO"/>
        </w:rPr>
        <w:t>8</w:t>
      </w:r>
      <w:r w:rsidRPr="004435BE">
        <w:rPr>
          <w:rFonts w:ascii="Times New Roman" w:hAnsi="Times New Roman"/>
          <w:lang w:val="ro-RO"/>
        </w:rPr>
        <w:t xml:space="preserve"> cauze (</w:t>
      </w:r>
      <w:r w:rsidR="00604BCF" w:rsidRPr="004435BE">
        <w:rPr>
          <w:rFonts w:ascii="Times New Roman" w:hAnsi="Times New Roman"/>
          <w:lang w:val="ro-RO"/>
        </w:rPr>
        <w:t>61,54</w:t>
      </w:r>
      <w:r w:rsidRPr="004435BE">
        <w:rPr>
          <w:rFonts w:ascii="Times New Roman" w:hAnsi="Times New Roman"/>
          <w:lang w:val="ro-RO"/>
        </w:rPr>
        <w:t xml:space="preserve"> %),</w:t>
      </w:r>
      <w:r w:rsidR="00604BCF" w:rsidRPr="004435BE">
        <w:rPr>
          <w:rFonts w:ascii="Times New Roman" w:hAnsi="Times New Roman"/>
          <w:lang w:val="ro-RO"/>
        </w:rPr>
        <w:t xml:space="preserve"> la fel </w:t>
      </w:r>
      <w:r w:rsidR="004B3673" w:rsidRPr="004435BE">
        <w:rPr>
          <w:rFonts w:ascii="Times New Roman" w:hAnsi="Times New Roman"/>
          <w:lang w:val="ro-RO"/>
        </w:rPr>
        <w:t xml:space="preserve">ca în </w:t>
      </w:r>
      <w:r w:rsidR="00850420" w:rsidRPr="004435BE">
        <w:rPr>
          <w:rFonts w:ascii="Times New Roman" w:hAnsi="Times New Roman"/>
          <w:lang w:val="ro-RO"/>
        </w:rPr>
        <w:t>aceeași</w:t>
      </w:r>
      <w:r w:rsidR="004B3673" w:rsidRPr="004435BE">
        <w:rPr>
          <w:rFonts w:ascii="Times New Roman" w:hAnsi="Times New Roman"/>
          <w:lang w:val="ro-RO"/>
        </w:rPr>
        <w:t xml:space="preserve"> perioadă a anului 2015,</w:t>
      </w:r>
    </w:p>
    <w:p w:rsidR="00895B4F" w:rsidRPr="004435BE" w:rsidRDefault="00895B4F" w:rsidP="004435BE">
      <w:pPr>
        <w:pStyle w:val="ac"/>
        <w:numPr>
          <w:ilvl w:val="0"/>
          <w:numId w:val="35"/>
        </w:numPr>
        <w:rPr>
          <w:rFonts w:ascii="Times New Roman" w:hAnsi="Times New Roman"/>
          <w:lang w:val="ro-RO"/>
        </w:rPr>
      </w:pPr>
      <w:r w:rsidRPr="004435BE">
        <w:rPr>
          <w:rFonts w:ascii="Times New Roman" w:hAnsi="Times New Roman"/>
          <w:lang w:val="ro-RO"/>
        </w:rPr>
        <w:lastRenderedPageBreak/>
        <w:t xml:space="preserve">casate – </w:t>
      </w:r>
      <w:r w:rsidR="00604BCF" w:rsidRPr="004435BE">
        <w:rPr>
          <w:rFonts w:ascii="Times New Roman" w:hAnsi="Times New Roman"/>
          <w:b/>
          <w:lang w:val="ro-RO"/>
        </w:rPr>
        <w:t>5</w:t>
      </w:r>
      <w:r w:rsidRPr="004435BE">
        <w:rPr>
          <w:rFonts w:ascii="Times New Roman" w:hAnsi="Times New Roman"/>
          <w:lang w:val="ro-RO"/>
        </w:rPr>
        <w:t xml:space="preserve"> cauze (</w:t>
      </w:r>
      <w:r w:rsidR="00604BCF" w:rsidRPr="004435BE">
        <w:rPr>
          <w:rFonts w:ascii="Times New Roman" w:hAnsi="Times New Roman"/>
          <w:lang w:val="ro-RO"/>
        </w:rPr>
        <w:t>38,46</w:t>
      </w:r>
      <w:r w:rsidR="00A2550D" w:rsidRPr="004435BE">
        <w:rPr>
          <w:rFonts w:ascii="Times New Roman" w:hAnsi="Times New Roman"/>
          <w:lang w:val="ro-RO"/>
        </w:rPr>
        <w:t xml:space="preserve"> </w:t>
      </w:r>
      <w:r w:rsidRPr="004435BE">
        <w:rPr>
          <w:rFonts w:ascii="Times New Roman" w:hAnsi="Times New Roman"/>
          <w:lang w:val="ro-RO"/>
        </w:rPr>
        <w:t xml:space="preserve">%), cu </w:t>
      </w:r>
      <w:r w:rsidR="00604BCF" w:rsidRPr="004435BE">
        <w:rPr>
          <w:rFonts w:ascii="Times New Roman" w:hAnsi="Times New Roman"/>
          <w:lang w:val="ro-RO"/>
        </w:rPr>
        <w:t>2</w:t>
      </w:r>
      <w:r w:rsidRPr="004435BE">
        <w:rPr>
          <w:rFonts w:ascii="Times New Roman" w:hAnsi="Times New Roman"/>
          <w:lang w:val="ro-RO"/>
        </w:rPr>
        <w:t xml:space="preserve"> cauz</w:t>
      </w:r>
      <w:r w:rsidR="004B3673" w:rsidRPr="004435BE">
        <w:rPr>
          <w:rFonts w:ascii="Times New Roman" w:hAnsi="Times New Roman"/>
          <w:lang w:val="ro-RO"/>
        </w:rPr>
        <w:t>ă</w:t>
      </w:r>
      <w:r w:rsidRPr="004435BE">
        <w:rPr>
          <w:rFonts w:ascii="Times New Roman" w:hAnsi="Times New Roman"/>
          <w:lang w:val="ro-RO"/>
        </w:rPr>
        <w:t xml:space="preserve"> mai </w:t>
      </w:r>
      <w:r w:rsidR="00604BCF" w:rsidRPr="004435BE">
        <w:rPr>
          <w:rFonts w:ascii="Times New Roman" w:hAnsi="Times New Roman"/>
          <w:lang w:val="ro-RO"/>
        </w:rPr>
        <w:t xml:space="preserve">mult </w:t>
      </w:r>
      <w:r w:rsidRPr="004435BE">
        <w:rPr>
          <w:rFonts w:ascii="Times New Roman" w:hAnsi="Times New Roman"/>
          <w:lang w:val="ro-RO"/>
        </w:rPr>
        <w:t xml:space="preserve">ca în </w:t>
      </w:r>
      <w:r w:rsidR="00850420" w:rsidRPr="004435BE">
        <w:rPr>
          <w:rFonts w:ascii="Times New Roman" w:hAnsi="Times New Roman"/>
          <w:lang w:val="ro-RO"/>
        </w:rPr>
        <w:t>aceeași</w:t>
      </w:r>
      <w:r w:rsidRPr="004435BE">
        <w:rPr>
          <w:rFonts w:ascii="Times New Roman" w:hAnsi="Times New Roman"/>
          <w:lang w:val="ro-RO"/>
        </w:rPr>
        <w:t xml:space="preserve"> perioadă a anului 201</w:t>
      </w:r>
      <w:r w:rsidR="000A4BA2" w:rsidRPr="004435BE">
        <w:rPr>
          <w:rFonts w:ascii="Times New Roman" w:hAnsi="Times New Roman"/>
          <w:lang w:val="ro-RO"/>
        </w:rPr>
        <w:t>5</w:t>
      </w:r>
      <w:r w:rsidRPr="004435BE">
        <w:rPr>
          <w:rFonts w:ascii="Times New Roman" w:hAnsi="Times New Roman"/>
          <w:lang w:val="ro-RO"/>
        </w:rPr>
        <w:t>.</w:t>
      </w:r>
    </w:p>
    <w:p w:rsidR="00895B4F" w:rsidRPr="004435BE" w:rsidRDefault="00895B4F" w:rsidP="004435BE">
      <w:pPr>
        <w:rPr>
          <w:rFonts w:cs="Times New Roman"/>
          <w:b/>
          <w:u w:val="single"/>
          <w:lang w:val="ro-RO"/>
        </w:rPr>
      </w:pPr>
    </w:p>
    <w:p w:rsidR="00895B4F" w:rsidRPr="004435BE" w:rsidRDefault="00895B4F" w:rsidP="004435BE">
      <w:pPr>
        <w:rPr>
          <w:rFonts w:cs="Times New Roman"/>
          <w:lang w:val="ro-RO"/>
        </w:rPr>
      </w:pPr>
      <w:r w:rsidRPr="004435BE">
        <w:rPr>
          <w:rFonts w:cs="Times New Roman"/>
          <w:b/>
          <w:u w:val="single"/>
          <w:lang w:val="ro-RO"/>
        </w:rPr>
        <w:t xml:space="preserve">Judecătoria Comrat </w:t>
      </w:r>
      <w:r w:rsidRPr="004435BE">
        <w:rPr>
          <w:rFonts w:cs="Times New Roman"/>
          <w:lang w:val="ro-RO"/>
        </w:rPr>
        <w:t xml:space="preserve">– examinate – </w:t>
      </w:r>
      <w:r w:rsidR="00604BCF" w:rsidRPr="004435BE">
        <w:rPr>
          <w:rFonts w:cs="Times New Roman"/>
          <w:b/>
          <w:lang w:val="ro-RO"/>
        </w:rPr>
        <w:t>7</w:t>
      </w:r>
      <w:r w:rsidRPr="004435BE">
        <w:rPr>
          <w:rFonts w:cs="Times New Roman"/>
          <w:b/>
          <w:lang w:val="ro-RO"/>
        </w:rPr>
        <w:t xml:space="preserve"> </w:t>
      </w:r>
      <w:r w:rsidRPr="004435BE">
        <w:rPr>
          <w:rFonts w:cs="Times New Roman"/>
          <w:lang w:val="ro-RO"/>
        </w:rPr>
        <w:t xml:space="preserve">cauze (Nr. persoane - </w:t>
      </w:r>
      <w:r w:rsidR="00604BCF" w:rsidRPr="004435BE">
        <w:rPr>
          <w:rFonts w:cs="Times New Roman"/>
          <w:b/>
          <w:lang w:val="ro-RO"/>
        </w:rPr>
        <w:t>7</w:t>
      </w:r>
      <w:r w:rsidRPr="004435BE">
        <w:rPr>
          <w:rFonts w:cs="Times New Roman"/>
          <w:lang w:val="ro-RO"/>
        </w:rPr>
        <w:t xml:space="preserve"> ), cu</w:t>
      </w:r>
      <w:r w:rsidR="00604BCF" w:rsidRPr="004435BE">
        <w:rPr>
          <w:rFonts w:cs="Times New Roman"/>
          <w:lang w:val="ro-RO"/>
        </w:rPr>
        <w:t xml:space="preserve"> </w:t>
      </w:r>
      <w:r w:rsidR="004B3673" w:rsidRPr="004435BE">
        <w:rPr>
          <w:rFonts w:cs="Times New Roman"/>
          <w:lang w:val="ro-RO"/>
        </w:rPr>
        <w:t>4</w:t>
      </w:r>
      <w:r w:rsidRPr="004435BE">
        <w:rPr>
          <w:rFonts w:cs="Times New Roman"/>
          <w:lang w:val="ro-RO"/>
        </w:rPr>
        <w:t xml:space="preserve"> cauze mai mult ca în </w:t>
      </w:r>
      <w:r w:rsidR="00850420" w:rsidRPr="004435BE">
        <w:rPr>
          <w:rFonts w:cs="Times New Roman"/>
          <w:lang w:val="ro-RO"/>
        </w:rPr>
        <w:t>aceeași</w:t>
      </w:r>
      <w:r w:rsidRPr="004435BE">
        <w:rPr>
          <w:rFonts w:cs="Times New Roman"/>
          <w:lang w:val="ro-RO"/>
        </w:rPr>
        <w:t xml:space="preserve"> perioadă a anului 201</w:t>
      </w:r>
      <w:r w:rsidR="004B3673" w:rsidRPr="004435BE">
        <w:rPr>
          <w:rFonts w:cs="Times New Roman"/>
          <w:lang w:val="ro-RO"/>
        </w:rPr>
        <w:t>5</w:t>
      </w:r>
      <w:r w:rsidRPr="004435BE">
        <w:rPr>
          <w:rFonts w:cs="Times New Roman"/>
          <w:lang w:val="ro-RO"/>
        </w:rPr>
        <w:t>,</w:t>
      </w:r>
    </w:p>
    <w:p w:rsidR="00895B4F" w:rsidRPr="004435BE" w:rsidRDefault="00895B4F" w:rsidP="004435BE">
      <w:pPr>
        <w:pStyle w:val="ac"/>
        <w:numPr>
          <w:ilvl w:val="0"/>
          <w:numId w:val="35"/>
        </w:numPr>
        <w:rPr>
          <w:rFonts w:ascii="Times New Roman" w:hAnsi="Times New Roman"/>
          <w:lang w:val="ro-RO"/>
        </w:rPr>
      </w:pPr>
      <w:r w:rsidRPr="004435BE">
        <w:rPr>
          <w:rFonts w:ascii="Times New Roman" w:hAnsi="Times New Roman"/>
          <w:lang w:val="ro-RO"/>
        </w:rPr>
        <w:t>menținute fără modificări –</w:t>
      </w:r>
      <w:r w:rsidR="00604BCF" w:rsidRPr="004435BE">
        <w:rPr>
          <w:rFonts w:ascii="Times New Roman" w:hAnsi="Times New Roman"/>
          <w:lang w:val="ro-RO"/>
        </w:rPr>
        <w:t xml:space="preserve"> </w:t>
      </w:r>
      <w:r w:rsidR="00604BCF" w:rsidRPr="004435BE">
        <w:rPr>
          <w:rFonts w:ascii="Times New Roman" w:hAnsi="Times New Roman"/>
          <w:b/>
          <w:lang w:val="ro-RO"/>
        </w:rPr>
        <w:t xml:space="preserve">2 </w:t>
      </w:r>
      <w:r w:rsidR="004B3673" w:rsidRPr="004435BE">
        <w:rPr>
          <w:rFonts w:ascii="Times New Roman" w:hAnsi="Times New Roman"/>
          <w:lang w:val="ro-RO"/>
        </w:rPr>
        <w:t>cauz</w:t>
      </w:r>
      <w:r w:rsidR="00604BCF" w:rsidRPr="004435BE">
        <w:rPr>
          <w:rFonts w:ascii="Times New Roman" w:hAnsi="Times New Roman"/>
          <w:lang w:val="ro-RO"/>
        </w:rPr>
        <w:t xml:space="preserve">e  </w:t>
      </w:r>
      <w:r w:rsidRPr="004435BE">
        <w:rPr>
          <w:rFonts w:ascii="Times New Roman" w:hAnsi="Times New Roman"/>
          <w:lang w:val="ro-RO"/>
        </w:rPr>
        <w:t>(</w:t>
      </w:r>
      <w:r w:rsidR="00604BCF" w:rsidRPr="004435BE">
        <w:rPr>
          <w:rFonts w:ascii="Times New Roman" w:hAnsi="Times New Roman"/>
          <w:lang w:val="ro-RO"/>
        </w:rPr>
        <w:t>28,57</w:t>
      </w:r>
      <w:r w:rsidRPr="004435BE">
        <w:rPr>
          <w:rFonts w:ascii="Times New Roman" w:hAnsi="Times New Roman"/>
          <w:lang w:val="ro-RO"/>
        </w:rPr>
        <w:t xml:space="preserve">%), </w:t>
      </w:r>
      <w:r w:rsidR="00604BCF" w:rsidRPr="004435BE">
        <w:rPr>
          <w:rFonts w:ascii="Times New Roman" w:hAnsi="Times New Roman"/>
          <w:lang w:val="ro-RO"/>
        </w:rPr>
        <w:t xml:space="preserve">la fel </w:t>
      </w:r>
      <w:r w:rsidRPr="004435BE">
        <w:rPr>
          <w:rFonts w:ascii="Times New Roman" w:hAnsi="Times New Roman"/>
          <w:lang w:val="ro-RO"/>
        </w:rPr>
        <w:t xml:space="preserve">ca în </w:t>
      </w:r>
      <w:r w:rsidR="00850420" w:rsidRPr="004435BE">
        <w:rPr>
          <w:rFonts w:ascii="Times New Roman" w:hAnsi="Times New Roman"/>
          <w:lang w:val="ro-RO"/>
        </w:rPr>
        <w:t>aceeași</w:t>
      </w:r>
      <w:r w:rsidRPr="004435BE">
        <w:rPr>
          <w:rFonts w:ascii="Times New Roman" w:hAnsi="Times New Roman"/>
          <w:lang w:val="ro-RO"/>
        </w:rPr>
        <w:t xml:space="preserve"> perioadă a anului 201</w:t>
      </w:r>
      <w:r w:rsidR="004B3673" w:rsidRPr="004435BE">
        <w:rPr>
          <w:rFonts w:ascii="Times New Roman" w:hAnsi="Times New Roman"/>
          <w:lang w:val="ro-RO"/>
        </w:rPr>
        <w:t>5</w:t>
      </w:r>
      <w:r w:rsidRPr="004435BE">
        <w:rPr>
          <w:rFonts w:ascii="Times New Roman" w:hAnsi="Times New Roman"/>
          <w:lang w:val="ro-RO"/>
        </w:rPr>
        <w:t>,</w:t>
      </w:r>
    </w:p>
    <w:p w:rsidR="00895B4F" w:rsidRPr="004435BE" w:rsidRDefault="00895B4F" w:rsidP="004435BE">
      <w:pPr>
        <w:pStyle w:val="ac"/>
        <w:numPr>
          <w:ilvl w:val="0"/>
          <w:numId w:val="35"/>
        </w:numPr>
        <w:rPr>
          <w:rFonts w:ascii="Times New Roman" w:hAnsi="Times New Roman"/>
          <w:lang w:val="ro-RO"/>
        </w:rPr>
      </w:pPr>
      <w:r w:rsidRPr="004435BE">
        <w:rPr>
          <w:rFonts w:ascii="Times New Roman" w:hAnsi="Times New Roman"/>
          <w:lang w:val="ro-RO"/>
        </w:rPr>
        <w:t xml:space="preserve">casate – </w:t>
      </w:r>
      <w:r w:rsidR="00604BCF" w:rsidRPr="004435BE">
        <w:rPr>
          <w:rFonts w:ascii="Times New Roman" w:hAnsi="Times New Roman"/>
          <w:b/>
          <w:lang w:val="ro-RO"/>
        </w:rPr>
        <w:t>5</w:t>
      </w:r>
      <w:r w:rsidRPr="004435BE">
        <w:rPr>
          <w:rFonts w:ascii="Times New Roman" w:hAnsi="Times New Roman"/>
          <w:lang w:val="ro-RO"/>
        </w:rPr>
        <w:t xml:space="preserve"> cauze (</w:t>
      </w:r>
      <w:r w:rsidR="00604BCF" w:rsidRPr="004435BE">
        <w:rPr>
          <w:rFonts w:ascii="Times New Roman" w:hAnsi="Times New Roman"/>
          <w:lang w:val="ro-RO"/>
        </w:rPr>
        <w:t>71,43</w:t>
      </w:r>
      <w:r w:rsidRPr="004435BE">
        <w:rPr>
          <w:rFonts w:ascii="Times New Roman" w:hAnsi="Times New Roman"/>
          <w:lang w:val="ro-RO"/>
        </w:rPr>
        <w:t>%),</w:t>
      </w:r>
      <w:r w:rsidR="00604BCF" w:rsidRPr="004435BE">
        <w:rPr>
          <w:rFonts w:ascii="Times New Roman" w:hAnsi="Times New Roman"/>
          <w:lang w:val="ro-RO"/>
        </w:rPr>
        <w:t>cu 4</w:t>
      </w:r>
      <w:r w:rsidR="004B3673" w:rsidRPr="004435BE">
        <w:rPr>
          <w:rFonts w:ascii="Times New Roman" w:hAnsi="Times New Roman"/>
          <w:lang w:val="ro-RO"/>
        </w:rPr>
        <w:t xml:space="preserve"> cauze mai mult ca în </w:t>
      </w:r>
      <w:r w:rsidR="00850420" w:rsidRPr="004435BE">
        <w:rPr>
          <w:rFonts w:ascii="Times New Roman" w:hAnsi="Times New Roman"/>
          <w:lang w:val="ro-RO"/>
        </w:rPr>
        <w:t>aceeași</w:t>
      </w:r>
      <w:r w:rsidR="004B3673" w:rsidRPr="004435BE">
        <w:rPr>
          <w:rFonts w:ascii="Times New Roman" w:hAnsi="Times New Roman"/>
          <w:lang w:val="ro-RO"/>
        </w:rPr>
        <w:t xml:space="preserve"> perioadă a anulu</w:t>
      </w:r>
      <w:r w:rsidR="00D51CFA" w:rsidRPr="004435BE">
        <w:rPr>
          <w:rFonts w:ascii="Times New Roman" w:hAnsi="Times New Roman"/>
          <w:lang w:val="ro-RO"/>
        </w:rPr>
        <w:t>i 2015,</w:t>
      </w:r>
    </w:p>
    <w:p w:rsidR="00D51CFA" w:rsidRPr="004435BE" w:rsidRDefault="00D51CFA" w:rsidP="004435BE">
      <w:pPr>
        <w:rPr>
          <w:rFonts w:cs="Times New Roman"/>
          <w:lang w:val="ro-RO"/>
        </w:rPr>
      </w:pPr>
    </w:p>
    <w:p w:rsidR="000A4BA2" w:rsidRPr="004435BE" w:rsidRDefault="000A4BA2" w:rsidP="004435BE">
      <w:pPr>
        <w:rPr>
          <w:rFonts w:cs="Times New Roman"/>
          <w:lang w:val="ro-RO"/>
        </w:rPr>
      </w:pPr>
      <w:r w:rsidRPr="004435BE">
        <w:rPr>
          <w:rFonts w:cs="Times New Roman"/>
          <w:b/>
          <w:u w:val="single"/>
          <w:lang w:val="ro-RO"/>
        </w:rPr>
        <w:t xml:space="preserve">Judecătoria Ceadîr-Lunga </w:t>
      </w:r>
      <w:r w:rsidRPr="004435BE">
        <w:rPr>
          <w:rFonts w:cs="Times New Roman"/>
          <w:lang w:val="ro-RO"/>
        </w:rPr>
        <w:t xml:space="preserve">– examinate – </w:t>
      </w:r>
      <w:r w:rsidR="00604BCF" w:rsidRPr="004435BE">
        <w:rPr>
          <w:rFonts w:cs="Times New Roman"/>
          <w:b/>
          <w:lang w:val="ro-RO"/>
        </w:rPr>
        <w:t xml:space="preserve">5 </w:t>
      </w:r>
      <w:r w:rsidRPr="004435BE">
        <w:rPr>
          <w:rFonts w:cs="Times New Roman"/>
          <w:lang w:val="ro-RO"/>
        </w:rPr>
        <w:t xml:space="preserve">cauze (Nr. persoane - </w:t>
      </w:r>
      <w:r w:rsidR="00604BCF" w:rsidRPr="004435BE">
        <w:rPr>
          <w:rFonts w:cs="Times New Roman"/>
          <w:lang w:val="ro-RO"/>
        </w:rPr>
        <w:t>5</w:t>
      </w:r>
      <w:r w:rsidRPr="004435BE">
        <w:rPr>
          <w:rFonts w:cs="Times New Roman"/>
          <w:lang w:val="ro-RO"/>
        </w:rPr>
        <w:t xml:space="preserve"> ), cu</w:t>
      </w:r>
      <w:r w:rsidR="00604BCF" w:rsidRPr="004435BE">
        <w:rPr>
          <w:rFonts w:cs="Times New Roman"/>
          <w:lang w:val="ro-RO"/>
        </w:rPr>
        <w:t xml:space="preserve"> 4</w:t>
      </w:r>
      <w:r w:rsidRPr="004435BE">
        <w:rPr>
          <w:rFonts w:cs="Times New Roman"/>
          <w:lang w:val="ro-RO"/>
        </w:rPr>
        <w:t xml:space="preserve"> cauze mai mult ca în </w:t>
      </w:r>
      <w:r w:rsidR="00850420" w:rsidRPr="004435BE">
        <w:rPr>
          <w:rFonts w:cs="Times New Roman"/>
          <w:lang w:val="ro-RO"/>
        </w:rPr>
        <w:t>aceeași</w:t>
      </w:r>
      <w:r w:rsidRPr="004435BE">
        <w:rPr>
          <w:rFonts w:cs="Times New Roman"/>
          <w:lang w:val="ro-RO"/>
        </w:rPr>
        <w:t xml:space="preserve"> perioadă a anului 201</w:t>
      </w:r>
      <w:r w:rsidR="004B3673" w:rsidRPr="004435BE">
        <w:rPr>
          <w:rFonts w:cs="Times New Roman"/>
          <w:lang w:val="ro-RO"/>
        </w:rPr>
        <w:t>5</w:t>
      </w:r>
      <w:r w:rsidRPr="004435BE">
        <w:rPr>
          <w:rFonts w:cs="Times New Roman"/>
          <w:lang w:val="ro-RO"/>
        </w:rPr>
        <w:t>,</w:t>
      </w:r>
    </w:p>
    <w:p w:rsidR="00D51CFA" w:rsidRPr="004435BE" w:rsidRDefault="000A4BA2" w:rsidP="004435BE">
      <w:pPr>
        <w:pStyle w:val="ac"/>
        <w:numPr>
          <w:ilvl w:val="0"/>
          <w:numId w:val="35"/>
        </w:numPr>
        <w:rPr>
          <w:rFonts w:ascii="Times New Roman" w:hAnsi="Times New Roman"/>
          <w:lang w:val="ro-RO"/>
        </w:rPr>
      </w:pPr>
      <w:r w:rsidRPr="004435BE">
        <w:rPr>
          <w:rFonts w:ascii="Times New Roman" w:hAnsi="Times New Roman"/>
          <w:lang w:val="ro-RO"/>
        </w:rPr>
        <w:t>menținute fără modificări –</w:t>
      </w:r>
      <w:r w:rsidR="00604BCF" w:rsidRPr="004435BE">
        <w:rPr>
          <w:rFonts w:ascii="Times New Roman" w:hAnsi="Times New Roman"/>
          <w:b/>
          <w:lang w:val="ro-RO"/>
        </w:rPr>
        <w:t xml:space="preserve"> 2</w:t>
      </w:r>
      <w:r w:rsidR="004B3673" w:rsidRPr="004435BE">
        <w:rPr>
          <w:rFonts w:ascii="Times New Roman" w:hAnsi="Times New Roman"/>
          <w:lang w:val="ro-RO"/>
        </w:rPr>
        <w:t xml:space="preserve"> cauză</w:t>
      </w:r>
      <w:r w:rsidRPr="004435BE">
        <w:rPr>
          <w:rFonts w:ascii="Times New Roman" w:hAnsi="Times New Roman"/>
          <w:lang w:val="ro-RO"/>
        </w:rPr>
        <w:t>(</w:t>
      </w:r>
      <w:r w:rsidR="00604BCF" w:rsidRPr="004435BE">
        <w:rPr>
          <w:rFonts w:ascii="Times New Roman" w:hAnsi="Times New Roman"/>
          <w:lang w:val="ro-RO"/>
        </w:rPr>
        <w:t xml:space="preserve">40 </w:t>
      </w:r>
      <w:r w:rsidRPr="004435BE">
        <w:rPr>
          <w:rFonts w:ascii="Times New Roman" w:hAnsi="Times New Roman"/>
          <w:lang w:val="ro-RO"/>
        </w:rPr>
        <w:t xml:space="preserve">%), cu </w:t>
      </w:r>
      <w:r w:rsidR="00604BCF" w:rsidRPr="004435BE">
        <w:rPr>
          <w:rFonts w:ascii="Times New Roman" w:hAnsi="Times New Roman"/>
          <w:lang w:val="ro-RO"/>
        </w:rPr>
        <w:t xml:space="preserve">2 cauze </w:t>
      </w:r>
      <w:r w:rsidRPr="004435BE">
        <w:rPr>
          <w:rFonts w:ascii="Times New Roman" w:hAnsi="Times New Roman"/>
          <w:lang w:val="ro-RO"/>
        </w:rPr>
        <w:t xml:space="preserve"> mai mult ca în </w:t>
      </w:r>
      <w:r w:rsidR="00850420" w:rsidRPr="004435BE">
        <w:rPr>
          <w:rFonts w:ascii="Times New Roman" w:hAnsi="Times New Roman"/>
          <w:lang w:val="ro-RO"/>
        </w:rPr>
        <w:t>aceeași</w:t>
      </w:r>
      <w:r w:rsidRPr="004435BE">
        <w:rPr>
          <w:rFonts w:ascii="Times New Roman" w:hAnsi="Times New Roman"/>
          <w:lang w:val="ro-RO"/>
        </w:rPr>
        <w:t xml:space="preserve"> perioadă a anului 201</w:t>
      </w:r>
      <w:r w:rsidR="004B3673" w:rsidRPr="004435BE">
        <w:rPr>
          <w:rFonts w:ascii="Times New Roman" w:hAnsi="Times New Roman"/>
          <w:lang w:val="ro-RO"/>
        </w:rPr>
        <w:t>5</w:t>
      </w:r>
      <w:r w:rsidRPr="004435BE">
        <w:rPr>
          <w:rFonts w:ascii="Times New Roman" w:hAnsi="Times New Roman"/>
          <w:lang w:val="ro-RO"/>
        </w:rPr>
        <w:t>,</w:t>
      </w:r>
    </w:p>
    <w:p w:rsidR="004B3673" w:rsidRPr="004435BE" w:rsidRDefault="000A4BA2" w:rsidP="004435BE">
      <w:pPr>
        <w:pStyle w:val="ac"/>
        <w:numPr>
          <w:ilvl w:val="0"/>
          <w:numId w:val="35"/>
        </w:numPr>
        <w:rPr>
          <w:rFonts w:ascii="Times New Roman" w:hAnsi="Times New Roman"/>
          <w:lang w:val="ro-RO"/>
        </w:rPr>
      </w:pPr>
      <w:r w:rsidRPr="004435BE">
        <w:rPr>
          <w:rFonts w:ascii="Times New Roman" w:hAnsi="Times New Roman"/>
          <w:lang w:val="ro-RO"/>
        </w:rPr>
        <w:t xml:space="preserve">casate – </w:t>
      </w:r>
      <w:r w:rsidR="00604BCF" w:rsidRPr="004435BE">
        <w:rPr>
          <w:rFonts w:ascii="Times New Roman" w:hAnsi="Times New Roman"/>
          <w:b/>
          <w:lang w:val="ro-RO"/>
        </w:rPr>
        <w:t>3</w:t>
      </w:r>
      <w:r w:rsidRPr="004435BE">
        <w:rPr>
          <w:rFonts w:ascii="Times New Roman" w:hAnsi="Times New Roman"/>
          <w:b/>
          <w:lang w:val="ro-RO"/>
        </w:rPr>
        <w:t xml:space="preserve"> </w:t>
      </w:r>
      <w:r w:rsidRPr="004435BE">
        <w:rPr>
          <w:rFonts w:ascii="Times New Roman" w:hAnsi="Times New Roman"/>
          <w:lang w:val="ro-RO"/>
        </w:rPr>
        <w:t>cauze (</w:t>
      </w:r>
      <w:r w:rsidR="00604BCF" w:rsidRPr="004435BE">
        <w:rPr>
          <w:rFonts w:ascii="Times New Roman" w:hAnsi="Times New Roman"/>
          <w:lang w:val="ro-RO"/>
        </w:rPr>
        <w:t>60</w:t>
      </w:r>
      <w:r w:rsidRPr="004435BE">
        <w:rPr>
          <w:rFonts w:ascii="Times New Roman" w:hAnsi="Times New Roman"/>
          <w:lang w:val="ro-RO"/>
        </w:rPr>
        <w:t xml:space="preserve"> %),</w:t>
      </w:r>
      <w:r w:rsidR="00604BCF" w:rsidRPr="004435BE">
        <w:rPr>
          <w:rFonts w:ascii="Times New Roman" w:hAnsi="Times New Roman"/>
          <w:lang w:val="ro-RO"/>
        </w:rPr>
        <w:t>cu 2</w:t>
      </w:r>
      <w:r w:rsidR="004B3673" w:rsidRPr="004435BE">
        <w:rPr>
          <w:rFonts w:ascii="Times New Roman" w:hAnsi="Times New Roman"/>
          <w:lang w:val="ro-RO"/>
        </w:rPr>
        <w:t xml:space="preserve"> cauze mai mult ca în</w:t>
      </w:r>
      <w:r w:rsidR="00604BCF" w:rsidRPr="004435BE">
        <w:rPr>
          <w:rFonts w:ascii="Times New Roman" w:hAnsi="Times New Roman"/>
          <w:lang w:val="ro-RO"/>
        </w:rPr>
        <w:t xml:space="preserve"> </w:t>
      </w:r>
      <w:r w:rsidR="00850420" w:rsidRPr="004435BE">
        <w:rPr>
          <w:rFonts w:ascii="Times New Roman" w:hAnsi="Times New Roman"/>
          <w:lang w:val="ro-RO"/>
        </w:rPr>
        <w:t>aceeași</w:t>
      </w:r>
      <w:r w:rsidR="00604BCF" w:rsidRPr="004435BE">
        <w:rPr>
          <w:rFonts w:ascii="Times New Roman" w:hAnsi="Times New Roman"/>
          <w:lang w:val="ro-RO"/>
        </w:rPr>
        <w:t xml:space="preserve"> perioadă a anului 2015.</w:t>
      </w:r>
    </w:p>
    <w:p w:rsidR="00895B4F" w:rsidRPr="00200430" w:rsidRDefault="00895B4F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</w:pPr>
      <w:r w:rsidRPr="00200430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ab/>
      </w:r>
    </w:p>
    <w:p w:rsidR="00895B4F" w:rsidRPr="00200430" w:rsidRDefault="00895B4F" w:rsidP="004435BE">
      <w:pPr>
        <w:pStyle w:val="a5"/>
        <w:numPr>
          <w:ilvl w:val="0"/>
          <w:numId w:val="34"/>
        </w:numPr>
        <w:tabs>
          <w:tab w:val="left" w:pos="142"/>
        </w:tabs>
        <w:ind w:right="-1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</w:pPr>
      <w:r w:rsidRPr="00200430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>Examinarea cauzelor civile de către Curtea de Apel Cahul</w:t>
      </w:r>
    </w:p>
    <w:p w:rsidR="00C44B69" w:rsidRPr="00200430" w:rsidRDefault="00C44B69" w:rsidP="00C44B69">
      <w:pPr>
        <w:pStyle w:val="a5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</w:p>
    <w:p w:rsidR="00C44B69" w:rsidRPr="00200430" w:rsidRDefault="005F0920" w:rsidP="004435BE">
      <w:pPr>
        <w:rPr>
          <w:i/>
          <w:lang w:val="ro-RO"/>
        </w:rPr>
      </w:pPr>
      <w:r w:rsidRPr="00200430">
        <w:rPr>
          <w:lang w:val="ro-RO"/>
        </w:rPr>
        <w:t>Pe parcursul perioadei 6</w:t>
      </w:r>
      <w:r w:rsidR="00C44B69" w:rsidRPr="00200430">
        <w:rPr>
          <w:lang w:val="ro-RO"/>
        </w:rPr>
        <w:t xml:space="preserve"> luni a anului 2016 spre examinare la Curtea de Apel Cahul s-au aflat în procedură în total </w:t>
      </w:r>
      <w:r w:rsidR="00D51CFA">
        <w:rPr>
          <w:b/>
          <w:lang w:val="ro-RO"/>
        </w:rPr>
        <w:t>5</w:t>
      </w:r>
      <w:r w:rsidR="00805D48" w:rsidRPr="00200430">
        <w:rPr>
          <w:b/>
          <w:lang w:val="ro-RO"/>
        </w:rPr>
        <w:t>98</w:t>
      </w:r>
      <w:r w:rsidR="00C44B69" w:rsidRPr="00200430">
        <w:rPr>
          <w:b/>
          <w:lang w:val="ro-RO"/>
        </w:rPr>
        <w:t xml:space="preserve"> cauze</w:t>
      </w:r>
      <w:r w:rsidR="00C44B69" w:rsidRPr="00200430">
        <w:rPr>
          <w:lang w:val="ro-RO"/>
        </w:rPr>
        <w:t xml:space="preserve"> civile, dintre care (</w:t>
      </w:r>
      <w:r w:rsidR="00C44B69" w:rsidRPr="00200430">
        <w:rPr>
          <w:i/>
          <w:lang w:val="ro-RO"/>
        </w:rPr>
        <w:t>civile în I instanţă-</w:t>
      </w:r>
      <w:r w:rsidR="00D51CFA">
        <w:rPr>
          <w:i/>
          <w:lang w:val="ro-RO"/>
        </w:rPr>
        <w:t>163</w:t>
      </w:r>
      <w:r w:rsidR="00C44B69" w:rsidRPr="00200430">
        <w:rPr>
          <w:i/>
          <w:lang w:val="ro-RO"/>
        </w:rPr>
        <w:t>, civile în apel -</w:t>
      </w:r>
      <w:r w:rsidR="00D51CFA">
        <w:rPr>
          <w:i/>
          <w:lang w:val="ro-RO"/>
        </w:rPr>
        <w:t>325</w:t>
      </w:r>
      <w:r w:rsidR="00C44B69" w:rsidRPr="00200430">
        <w:rPr>
          <w:i/>
          <w:lang w:val="ro-RO"/>
        </w:rPr>
        <w:t xml:space="preserve"> , civile în recurs -</w:t>
      </w:r>
      <w:r w:rsidR="00D51CFA">
        <w:rPr>
          <w:i/>
          <w:lang w:val="ro-RO"/>
        </w:rPr>
        <w:t>110</w:t>
      </w:r>
      <w:r w:rsidR="00C44B69" w:rsidRPr="00200430">
        <w:rPr>
          <w:lang w:val="ro-RO"/>
        </w:rPr>
        <w:t>)</w:t>
      </w:r>
    </w:p>
    <w:p w:rsidR="00C44B69" w:rsidRPr="00200430" w:rsidRDefault="00805D48" w:rsidP="004435BE">
      <w:pPr>
        <w:rPr>
          <w:lang w:val="ro-RO"/>
        </w:rPr>
      </w:pPr>
      <w:r w:rsidRPr="00200430">
        <w:rPr>
          <w:b/>
          <w:lang w:val="ro-RO"/>
        </w:rPr>
        <w:t>231</w:t>
      </w:r>
      <w:r w:rsidR="00C44B69" w:rsidRPr="00200430">
        <w:rPr>
          <w:b/>
          <w:lang w:val="ro-RO"/>
        </w:rPr>
        <w:t xml:space="preserve"> cauze</w:t>
      </w:r>
      <w:r w:rsidR="00C44B69" w:rsidRPr="00200430">
        <w:rPr>
          <w:lang w:val="ro-RO"/>
        </w:rPr>
        <w:t xml:space="preserve"> pendinte la începutul perioadei raportate,</w:t>
      </w:r>
      <w:r w:rsidR="00AB5D13">
        <w:rPr>
          <w:lang w:val="ro-RO"/>
        </w:rPr>
        <w:t xml:space="preserve"> </w:t>
      </w:r>
      <w:r w:rsidR="001D04FC">
        <w:rPr>
          <w:b/>
          <w:lang w:val="ro-RO"/>
        </w:rPr>
        <w:t>36</w:t>
      </w:r>
      <w:r w:rsidRPr="00200430">
        <w:rPr>
          <w:b/>
          <w:lang w:val="ro-RO"/>
        </w:rPr>
        <w:t>7</w:t>
      </w:r>
      <w:r w:rsidR="00AB5D13">
        <w:rPr>
          <w:b/>
          <w:lang w:val="ro-RO"/>
        </w:rPr>
        <w:t xml:space="preserve"> </w:t>
      </w:r>
      <w:r w:rsidR="00C44B69" w:rsidRPr="00200430">
        <w:rPr>
          <w:b/>
          <w:lang w:val="ro-RO"/>
        </w:rPr>
        <w:t>cauze</w:t>
      </w:r>
      <w:r w:rsidR="00C44B69" w:rsidRPr="00200430">
        <w:rPr>
          <w:lang w:val="ro-RO"/>
        </w:rPr>
        <w:t xml:space="preserve">  noi înregistrate</w:t>
      </w:r>
      <w:r w:rsidR="00AB5D13">
        <w:rPr>
          <w:lang w:val="ro-RO"/>
        </w:rPr>
        <w:t>.</w:t>
      </w:r>
    </w:p>
    <w:p w:rsidR="00C44B69" w:rsidRPr="00200430" w:rsidRDefault="00C44B69" w:rsidP="004435BE">
      <w:pPr>
        <w:rPr>
          <w:lang w:val="ro-RO"/>
        </w:rPr>
      </w:pPr>
      <w:r w:rsidRPr="00200430">
        <w:rPr>
          <w:lang w:val="ro-RO"/>
        </w:rPr>
        <w:t>Din totalul dosarelor aflate în procedură au fost  soluționate–</w:t>
      </w:r>
      <w:r w:rsidR="00AB5D13">
        <w:rPr>
          <w:b/>
          <w:lang w:val="ro-RO"/>
        </w:rPr>
        <w:t>356</w:t>
      </w:r>
      <w:r w:rsidR="00D51CFA">
        <w:rPr>
          <w:b/>
          <w:lang w:val="ro-RO"/>
        </w:rPr>
        <w:t xml:space="preserve"> </w:t>
      </w:r>
      <w:r w:rsidR="00AB5D13">
        <w:rPr>
          <w:b/>
          <w:lang w:val="ro-RO"/>
        </w:rPr>
        <w:t>dosare</w:t>
      </w:r>
      <w:r w:rsidR="00AB5D13" w:rsidRPr="00200430">
        <w:rPr>
          <w:lang w:val="ro-RO"/>
        </w:rPr>
        <w:t xml:space="preserve">, </w:t>
      </w:r>
      <w:r w:rsidR="00AB5D13" w:rsidRPr="00200430">
        <w:rPr>
          <w:i/>
          <w:lang w:val="ro-RO"/>
        </w:rPr>
        <w:t xml:space="preserve">din care fără soluționare în fond </w:t>
      </w:r>
      <w:r w:rsidR="00AB5D13">
        <w:rPr>
          <w:i/>
          <w:lang w:val="ro-RO"/>
        </w:rPr>
        <w:t>52</w:t>
      </w:r>
      <w:r w:rsidR="00AB5D13" w:rsidRPr="00200430">
        <w:rPr>
          <w:i/>
          <w:lang w:val="ro-RO"/>
        </w:rPr>
        <w:t xml:space="preserve"> cauze, strămutate la CSJ -</w:t>
      </w:r>
      <w:r w:rsidR="00AB5D13">
        <w:rPr>
          <w:i/>
          <w:lang w:val="ro-RO"/>
        </w:rPr>
        <w:t xml:space="preserve">13 </w:t>
      </w:r>
      <w:r w:rsidR="00AB5D13" w:rsidRPr="00200430">
        <w:rPr>
          <w:i/>
          <w:lang w:val="ro-RO"/>
        </w:rPr>
        <w:t>cauze</w:t>
      </w:r>
      <w:r w:rsidR="00AB5D13">
        <w:rPr>
          <w:i/>
          <w:lang w:val="ro-RO"/>
        </w:rPr>
        <w:t>.</w:t>
      </w:r>
    </w:p>
    <w:p w:rsidR="00C44B69" w:rsidRPr="00200430" w:rsidRDefault="00C44B69" w:rsidP="004435BE">
      <w:pPr>
        <w:rPr>
          <w:lang w:val="ro-RO"/>
        </w:rPr>
      </w:pPr>
      <w:r w:rsidRPr="00200430">
        <w:rPr>
          <w:lang w:val="ro-RO"/>
        </w:rPr>
        <w:t xml:space="preserve">Numărul dosarelor pendinte la sfîrșitul perioadei raportate constituie </w:t>
      </w:r>
      <w:r w:rsidR="00805D48" w:rsidRPr="00200430">
        <w:rPr>
          <w:b/>
          <w:lang w:val="ro-RO"/>
        </w:rPr>
        <w:t>2</w:t>
      </w:r>
      <w:r w:rsidR="00D51CFA">
        <w:rPr>
          <w:b/>
          <w:lang w:val="ro-RO"/>
        </w:rPr>
        <w:t>42</w:t>
      </w:r>
      <w:r w:rsidRPr="00200430">
        <w:rPr>
          <w:b/>
          <w:lang w:val="ro-RO"/>
        </w:rPr>
        <w:t xml:space="preserve"> dosare.</w:t>
      </w:r>
    </w:p>
    <w:p w:rsidR="00C44B69" w:rsidRPr="00200430" w:rsidRDefault="00C44B69" w:rsidP="004435BE">
      <w:pPr>
        <w:rPr>
          <w:b/>
          <w:highlight w:val="yellow"/>
          <w:lang w:val="ro-RO"/>
        </w:rPr>
      </w:pPr>
      <w:r w:rsidRPr="00200430">
        <w:rPr>
          <w:lang w:val="ro-RO"/>
        </w:rPr>
        <w:t xml:space="preserve">Rata de variație a stocului de cauze (raportul dintre cauzele noi înregistrate și cele pendinte la începutul perioadei raportate) constituie </w:t>
      </w:r>
      <w:r w:rsidR="00D51CFA" w:rsidRPr="00D51CFA">
        <w:rPr>
          <w:b/>
          <w:lang w:val="ro-RO"/>
        </w:rPr>
        <w:t>97,00%</w:t>
      </w:r>
      <w:r w:rsidR="00D51CFA">
        <w:rPr>
          <w:b/>
          <w:lang w:val="ro-RO"/>
        </w:rPr>
        <w:t>.</w:t>
      </w:r>
    </w:p>
    <w:p w:rsidR="00C44B69" w:rsidRPr="00C31491" w:rsidRDefault="00C44B69" w:rsidP="004435BE">
      <w:pPr>
        <w:rPr>
          <w:b/>
          <w:lang w:val="ro-RO"/>
        </w:rPr>
      </w:pPr>
      <w:r w:rsidRPr="00200430">
        <w:rPr>
          <w:lang w:val="ro-RO"/>
        </w:rPr>
        <w:t xml:space="preserve">Numărul de cauze penale examinate de un judecător în mediu  constituie </w:t>
      </w:r>
      <w:r w:rsidR="00D51CFA">
        <w:rPr>
          <w:b/>
          <w:lang w:val="ro-RO"/>
        </w:rPr>
        <w:t>35</w:t>
      </w:r>
      <w:r w:rsidR="00C31491">
        <w:rPr>
          <w:b/>
          <w:lang w:val="ro-RO"/>
        </w:rPr>
        <w:t xml:space="preserve"> dosare.</w:t>
      </w:r>
    </w:p>
    <w:p w:rsidR="007C7509" w:rsidRPr="00200430" w:rsidRDefault="007C7509" w:rsidP="004435BE">
      <w:pPr>
        <w:rPr>
          <w:lang w:val="ro-RO"/>
        </w:rPr>
      </w:pPr>
      <w:r w:rsidRPr="00200430">
        <w:rPr>
          <w:lang w:val="ro-RO"/>
        </w:rPr>
        <w:t>În anul 2016 comparativ cu aceeași perioadă a anului 2015 numărul dosarelor pendinte la începutul perioadei raportate a înregistrat  o creștere cu 66 dosare.</w:t>
      </w:r>
    </w:p>
    <w:p w:rsidR="00C44B69" w:rsidRPr="00200430" w:rsidRDefault="00C44B69" w:rsidP="004435BE">
      <w:pPr>
        <w:rPr>
          <w:lang w:val="ro-RO"/>
        </w:rPr>
      </w:pPr>
      <w:r w:rsidRPr="00200430">
        <w:rPr>
          <w:lang w:val="ro-RO"/>
        </w:rPr>
        <w:t xml:space="preserve">Dosarele noi înregistrate dimpotrivă au înregistrat o scădere cu </w:t>
      </w:r>
      <w:r w:rsidR="00D51CFA">
        <w:rPr>
          <w:lang w:val="ro-RO"/>
        </w:rPr>
        <w:t>191</w:t>
      </w:r>
      <w:r w:rsidRPr="00200430">
        <w:rPr>
          <w:lang w:val="ro-RO"/>
        </w:rPr>
        <w:t xml:space="preserve"> cauze. </w:t>
      </w:r>
    </w:p>
    <w:p w:rsidR="00C31491" w:rsidRDefault="00C44B69" w:rsidP="004435BE">
      <w:pPr>
        <w:rPr>
          <w:lang w:val="ro-RO"/>
        </w:rPr>
      </w:pPr>
      <w:r w:rsidRPr="00200430">
        <w:rPr>
          <w:lang w:val="ro-RO"/>
        </w:rPr>
        <w:t xml:space="preserve">Cauze soluționate ne indică o </w:t>
      </w:r>
      <w:r w:rsidR="00D51CFA">
        <w:rPr>
          <w:lang w:val="ro-RO"/>
        </w:rPr>
        <w:t>scădere</w:t>
      </w:r>
      <w:r w:rsidRPr="00200430">
        <w:rPr>
          <w:lang w:val="ro-RO"/>
        </w:rPr>
        <w:t xml:space="preserve"> cu  </w:t>
      </w:r>
      <w:r w:rsidR="00D51CFA">
        <w:rPr>
          <w:lang w:val="ro-RO"/>
        </w:rPr>
        <w:t>57</w:t>
      </w:r>
      <w:r w:rsidRPr="00200430">
        <w:rPr>
          <w:lang w:val="ro-RO"/>
        </w:rPr>
        <w:t xml:space="preserve"> dosare, iar  cele pendinte o </w:t>
      </w:r>
      <w:r w:rsidR="007C7509" w:rsidRPr="00200430">
        <w:rPr>
          <w:lang w:val="ro-RO"/>
        </w:rPr>
        <w:t xml:space="preserve">scădere </w:t>
      </w:r>
      <w:r w:rsidRPr="00200430">
        <w:rPr>
          <w:lang w:val="ro-RO"/>
        </w:rPr>
        <w:t xml:space="preserve">cu  </w:t>
      </w:r>
      <w:r w:rsidR="00D51CFA">
        <w:rPr>
          <w:lang w:val="ro-RO"/>
        </w:rPr>
        <w:t>68</w:t>
      </w:r>
      <w:r w:rsidRPr="00200430">
        <w:rPr>
          <w:lang w:val="ro-RO"/>
        </w:rPr>
        <w:t xml:space="preserve"> dosare. </w:t>
      </w:r>
    </w:p>
    <w:p w:rsidR="00C31491" w:rsidRDefault="00C31491" w:rsidP="00C31491">
      <w:pPr>
        <w:pStyle w:val="a5"/>
        <w:ind w:firstLine="720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</w:p>
    <w:p w:rsidR="00C44B69" w:rsidRPr="00200430" w:rsidRDefault="00C44B69" w:rsidP="000902D9">
      <w:pPr>
        <w:pStyle w:val="a5"/>
        <w:ind w:firstLine="720"/>
        <w:jc w:val="center"/>
        <w:rPr>
          <w:rFonts w:ascii="Times New Roman" w:hAnsi="Times New Roman"/>
          <w:i/>
          <w:color w:val="000000" w:themeColor="text1"/>
          <w:sz w:val="24"/>
          <w:szCs w:val="24"/>
          <w:lang w:val="ro-RO"/>
        </w:rPr>
      </w:pPr>
      <w:r w:rsidRPr="00200430">
        <w:rPr>
          <w:rFonts w:ascii="Times New Roman" w:hAnsi="Times New Roman"/>
          <w:i/>
          <w:color w:val="000000" w:themeColor="text1"/>
          <w:sz w:val="24"/>
          <w:szCs w:val="24"/>
          <w:lang w:val="ro-RO"/>
        </w:rPr>
        <w:t>Analiza activității comparative în diagramă</w:t>
      </w:r>
    </w:p>
    <w:p w:rsidR="00A34E76" w:rsidRPr="00200430" w:rsidRDefault="00A34E76" w:rsidP="000902D9">
      <w:pPr>
        <w:pStyle w:val="a5"/>
        <w:ind w:firstLine="720"/>
        <w:jc w:val="center"/>
        <w:rPr>
          <w:rFonts w:ascii="Times New Roman" w:hAnsi="Times New Roman"/>
          <w:i/>
          <w:color w:val="000000" w:themeColor="text1"/>
          <w:sz w:val="24"/>
          <w:szCs w:val="24"/>
          <w:lang w:val="ro-RO"/>
        </w:rPr>
      </w:pPr>
    </w:p>
    <w:p w:rsidR="00C44B69" w:rsidRDefault="00D51CFA" w:rsidP="002D4363">
      <w:pPr>
        <w:pStyle w:val="a5"/>
        <w:ind w:firstLine="720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>
        <w:rPr>
          <w:noProof/>
          <w:lang w:val="ro-RO" w:eastAsia="ro-RO"/>
        </w:rPr>
        <w:drawing>
          <wp:inline distT="0" distB="0" distL="0" distR="0" wp14:anchorId="34311092" wp14:editId="640DD409">
            <wp:extent cx="4963583" cy="3206750"/>
            <wp:effectExtent l="0" t="0" r="8890" b="1270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C31491" w:rsidRDefault="00C31491" w:rsidP="002D4363">
      <w:pPr>
        <w:pStyle w:val="a5"/>
        <w:ind w:firstLine="720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</w:p>
    <w:p w:rsidR="00D51CFA" w:rsidRPr="00200430" w:rsidRDefault="00D51CFA" w:rsidP="002D4363">
      <w:pPr>
        <w:pStyle w:val="a5"/>
        <w:ind w:firstLine="720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</w:p>
    <w:p w:rsidR="00895B4F" w:rsidRPr="00200430" w:rsidRDefault="00895B4F" w:rsidP="004435BE">
      <w:pPr>
        <w:pStyle w:val="a5"/>
        <w:numPr>
          <w:ilvl w:val="0"/>
          <w:numId w:val="34"/>
        </w:numPr>
        <w:tabs>
          <w:tab w:val="left" w:pos="142"/>
        </w:tabs>
        <w:ind w:right="-1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</w:pPr>
      <w:r w:rsidRPr="00200430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 xml:space="preserve">Examinarea cauzelor civile în I </w:t>
      </w:r>
      <w:r w:rsidR="00850420" w:rsidRPr="00200430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>instanță</w:t>
      </w:r>
      <w:r w:rsidRPr="00200430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 xml:space="preserve"> de către Curtea de Apel Cahul</w:t>
      </w:r>
    </w:p>
    <w:p w:rsidR="00895B4F" w:rsidRPr="00200430" w:rsidRDefault="00194494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</w:pPr>
      <w:r w:rsidRPr="00200430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 xml:space="preserve">(2e, 2i, 24r </w:t>
      </w:r>
      <w:r w:rsidR="00895B4F" w:rsidRPr="00200430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>)</w:t>
      </w:r>
    </w:p>
    <w:p w:rsidR="00895B4F" w:rsidRPr="00200430" w:rsidRDefault="00895B4F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</w:pPr>
    </w:p>
    <w:p w:rsidR="00704F0D" w:rsidRPr="00200430" w:rsidRDefault="00895B4F" w:rsidP="004435BE">
      <w:pPr>
        <w:rPr>
          <w:lang w:val="ro-RO"/>
        </w:rPr>
      </w:pPr>
      <w:r w:rsidRPr="00200430">
        <w:rPr>
          <w:lang w:val="ro-RO"/>
        </w:rPr>
        <w:t xml:space="preserve">Pe parcursul </w:t>
      </w:r>
      <w:r w:rsidR="005F0920" w:rsidRPr="00200430">
        <w:rPr>
          <w:lang w:val="ro-RO"/>
        </w:rPr>
        <w:t>6</w:t>
      </w:r>
      <w:r w:rsidRPr="00200430">
        <w:rPr>
          <w:lang w:val="ro-RO"/>
        </w:rPr>
        <w:t xml:space="preserve"> luni a anului 201</w:t>
      </w:r>
      <w:r w:rsidR="00194494" w:rsidRPr="00200430">
        <w:rPr>
          <w:lang w:val="ro-RO"/>
        </w:rPr>
        <w:t>6</w:t>
      </w:r>
      <w:r w:rsidRPr="00200430">
        <w:rPr>
          <w:lang w:val="ro-RO"/>
        </w:rPr>
        <w:t xml:space="preserve"> au parvenit spre examinare din instan</w:t>
      </w:r>
      <w:r w:rsidR="00194494" w:rsidRPr="00200430">
        <w:rPr>
          <w:lang w:val="ro-RO"/>
        </w:rPr>
        <w:t>ț</w:t>
      </w:r>
      <w:r w:rsidRPr="00200430">
        <w:rPr>
          <w:lang w:val="ro-RO"/>
        </w:rPr>
        <w:t xml:space="preserve">ele de fond cauze civile în total în I </w:t>
      </w:r>
      <w:r w:rsidR="00850420" w:rsidRPr="00200430">
        <w:rPr>
          <w:lang w:val="ro-RO"/>
        </w:rPr>
        <w:t>instanță</w:t>
      </w:r>
      <w:r w:rsidRPr="00200430">
        <w:rPr>
          <w:lang w:val="ro-RO"/>
        </w:rPr>
        <w:t xml:space="preserve"> </w:t>
      </w:r>
      <w:r w:rsidR="00D51CFA">
        <w:rPr>
          <w:b/>
          <w:lang w:val="ro-RO"/>
        </w:rPr>
        <w:t xml:space="preserve">163 </w:t>
      </w:r>
      <w:r w:rsidRPr="00200430">
        <w:rPr>
          <w:lang w:val="ro-RO"/>
        </w:rPr>
        <w:t xml:space="preserve">cauze, </w:t>
      </w:r>
      <w:r w:rsidR="00A1680B" w:rsidRPr="00200430">
        <w:rPr>
          <w:lang w:val="ro-RO"/>
        </w:rPr>
        <w:t xml:space="preserve"> inclusiv </w:t>
      </w:r>
      <w:r w:rsidR="00A1680B" w:rsidRPr="00200430">
        <w:rPr>
          <w:b/>
          <w:lang w:val="ro-RO"/>
        </w:rPr>
        <w:t>107</w:t>
      </w:r>
      <w:r w:rsidR="00D51CFA">
        <w:rPr>
          <w:b/>
          <w:lang w:val="ro-RO"/>
        </w:rPr>
        <w:t xml:space="preserve"> </w:t>
      </w:r>
      <w:r w:rsidR="00FF2CFE" w:rsidRPr="00D51CFA">
        <w:rPr>
          <w:lang w:val="ro-RO"/>
        </w:rPr>
        <w:t xml:space="preserve">cauze </w:t>
      </w:r>
      <w:r w:rsidR="00FF2CFE" w:rsidRPr="00200430">
        <w:rPr>
          <w:lang w:val="ro-RO"/>
        </w:rPr>
        <w:t>pendinte la începutul perioadei raportate</w:t>
      </w:r>
      <w:r w:rsidR="00A1680B" w:rsidRPr="00200430">
        <w:rPr>
          <w:lang w:val="ro-RO"/>
        </w:rPr>
        <w:t>.</w:t>
      </w:r>
    </w:p>
    <w:p w:rsidR="00895B4F" w:rsidRPr="004435BE" w:rsidRDefault="00895B4F" w:rsidP="004435BE">
      <w:pPr>
        <w:rPr>
          <w:rFonts w:cs="Times New Roman"/>
          <w:lang w:val="ro-RO"/>
        </w:rPr>
      </w:pPr>
      <w:r w:rsidRPr="004435BE">
        <w:rPr>
          <w:rFonts w:cs="Times New Roman"/>
          <w:lang w:val="ro-RO"/>
        </w:rPr>
        <w:t xml:space="preserve">Din numărul cauzelor examinate </w:t>
      </w:r>
      <w:r w:rsidR="00942895" w:rsidRPr="004435BE">
        <w:rPr>
          <w:rFonts w:cs="Times New Roman"/>
          <w:b/>
          <w:lang w:val="ro-RO"/>
        </w:rPr>
        <w:t>42</w:t>
      </w:r>
      <w:r w:rsidRPr="004435BE">
        <w:rPr>
          <w:rFonts w:cs="Times New Roman"/>
          <w:lang w:val="ro-RO"/>
        </w:rPr>
        <w:t xml:space="preserve"> (</w:t>
      </w:r>
      <w:r w:rsidR="00942895" w:rsidRPr="004435BE">
        <w:rPr>
          <w:rFonts w:cs="Times New Roman"/>
          <w:lang w:val="ro-RO"/>
        </w:rPr>
        <w:t>25,77</w:t>
      </w:r>
      <w:r w:rsidRPr="004435BE">
        <w:rPr>
          <w:rFonts w:cs="Times New Roman"/>
          <w:lang w:val="ro-RO"/>
        </w:rPr>
        <w:t xml:space="preserve"> %):</w:t>
      </w:r>
    </w:p>
    <w:p w:rsidR="00895B4F" w:rsidRPr="004435BE" w:rsidRDefault="00895B4F" w:rsidP="004435BE">
      <w:pPr>
        <w:pStyle w:val="ac"/>
        <w:numPr>
          <w:ilvl w:val="0"/>
          <w:numId w:val="35"/>
        </w:numPr>
        <w:rPr>
          <w:rFonts w:ascii="Times New Roman" w:hAnsi="Times New Roman"/>
          <w:lang w:val="ro-RO"/>
        </w:rPr>
      </w:pPr>
      <w:r w:rsidRPr="004435BE">
        <w:rPr>
          <w:rFonts w:ascii="Times New Roman" w:hAnsi="Times New Roman"/>
          <w:lang w:val="ro-RO"/>
        </w:rPr>
        <w:t xml:space="preserve">respinse </w:t>
      </w:r>
      <w:r w:rsidR="0014535E" w:rsidRPr="004435BE">
        <w:rPr>
          <w:rFonts w:ascii="Times New Roman" w:hAnsi="Times New Roman"/>
          <w:b/>
          <w:lang w:val="ro-RO"/>
        </w:rPr>
        <w:t>4</w:t>
      </w:r>
      <w:r w:rsidRPr="004435BE">
        <w:rPr>
          <w:rFonts w:ascii="Times New Roman" w:hAnsi="Times New Roman"/>
          <w:lang w:val="ro-RO"/>
        </w:rPr>
        <w:t xml:space="preserve"> cauze (</w:t>
      </w:r>
      <w:r w:rsidR="00942895" w:rsidRPr="004435BE">
        <w:rPr>
          <w:rFonts w:ascii="Times New Roman" w:hAnsi="Times New Roman"/>
          <w:lang w:val="ro-RO"/>
        </w:rPr>
        <w:t>9,52</w:t>
      </w:r>
      <w:r w:rsidRPr="004435BE">
        <w:rPr>
          <w:rFonts w:ascii="Times New Roman" w:hAnsi="Times New Roman"/>
          <w:lang w:val="ro-RO"/>
        </w:rPr>
        <w:t xml:space="preserve"> %);</w:t>
      </w:r>
    </w:p>
    <w:p w:rsidR="00895B4F" w:rsidRPr="004435BE" w:rsidRDefault="00895B4F" w:rsidP="004435BE">
      <w:pPr>
        <w:pStyle w:val="ac"/>
        <w:numPr>
          <w:ilvl w:val="0"/>
          <w:numId w:val="35"/>
        </w:numPr>
        <w:rPr>
          <w:rFonts w:ascii="Times New Roman" w:hAnsi="Times New Roman"/>
          <w:lang w:val="ro-RO"/>
        </w:rPr>
      </w:pPr>
      <w:r w:rsidRPr="004435BE">
        <w:rPr>
          <w:rFonts w:ascii="Times New Roman" w:hAnsi="Times New Roman"/>
          <w:lang w:val="ro-RO"/>
        </w:rPr>
        <w:t xml:space="preserve">admise </w:t>
      </w:r>
      <w:r w:rsidR="0014535E" w:rsidRPr="004435BE">
        <w:rPr>
          <w:rFonts w:ascii="Times New Roman" w:hAnsi="Times New Roman"/>
          <w:b/>
          <w:lang w:val="ro-RO"/>
        </w:rPr>
        <w:t>8</w:t>
      </w:r>
      <w:r w:rsidRPr="004435BE">
        <w:rPr>
          <w:rFonts w:ascii="Times New Roman" w:hAnsi="Times New Roman"/>
          <w:lang w:val="ro-RO"/>
        </w:rPr>
        <w:t xml:space="preserve"> cauze (</w:t>
      </w:r>
      <w:r w:rsidR="00942895" w:rsidRPr="004435BE">
        <w:rPr>
          <w:rFonts w:ascii="Times New Roman" w:hAnsi="Times New Roman"/>
          <w:lang w:val="ro-RO"/>
        </w:rPr>
        <w:t>19,05</w:t>
      </w:r>
      <w:r w:rsidRPr="004435BE">
        <w:rPr>
          <w:rFonts w:ascii="Times New Roman" w:hAnsi="Times New Roman"/>
          <w:lang w:val="ro-RO"/>
        </w:rPr>
        <w:t xml:space="preserve"> %);</w:t>
      </w:r>
    </w:p>
    <w:p w:rsidR="00895B4F" w:rsidRPr="004435BE" w:rsidRDefault="00895B4F" w:rsidP="004435BE">
      <w:pPr>
        <w:pStyle w:val="ac"/>
        <w:numPr>
          <w:ilvl w:val="0"/>
          <w:numId w:val="35"/>
        </w:numPr>
        <w:rPr>
          <w:rFonts w:ascii="Times New Roman" w:hAnsi="Times New Roman"/>
          <w:lang w:val="ro-RO"/>
        </w:rPr>
      </w:pPr>
      <w:r w:rsidRPr="004435BE">
        <w:rPr>
          <w:rFonts w:ascii="Times New Roman" w:hAnsi="Times New Roman"/>
          <w:lang w:val="ro-RO"/>
        </w:rPr>
        <w:t xml:space="preserve">încetarea procesului </w:t>
      </w:r>
      <w:r w:rsidR="0014535E" w:rsidRPr="004435BE">
        <w:rPr>
          <w:rFonts w:ascii="Times New Roman" w:hAnsi="Times New Roman"/>
          <w:b/>
          <w:lang w:val="ro-RO"/>
        </w:rPr>
        <w:t>21</w:t>
      </w:r>
      <w:r w:rsidRPr="004435BE">
        <w:rPr>
          <w:rFonts w:ascii="Times New Roman" w:hAnsi="Times New Roman"/>
          <w:lang w:val="ro-RO"/>
        </w:rPr>
        <w:t xml:space="preserve"> cauze (</w:t>
      </w:r>
      <w:r w:rsidR="00942895" w:rsidRPr="004435BE">
        <w:rPr>
          <w:rFonts w:ascii="Times New Roman" w:hAnsi="Times New Roman"/>
          <w:lang w:val="ro-RO"/>
        </w:rPr>
        <w:t>50</w:t>
      </w:r>
      <w:r w:rsidRPr="004435BE">
        <w:rPr>
          <w:rFonts w:ascii="Times New Roman" w:hAnsi="Times New Roman"/>
          <w:lang w:val="ro-RO"/>
        </w:rPr>
        <w:t xml:space="preserve"> %);</w:t>
      </w:r>
    </w:p>
    <w:p w:rsidR="00895B4F" w:rsidRPr="004435BE" w:rsidRDefault="00895B4F" w:rsidP="004435BE">
      <w:pPr>
        <w:pStyle w:val="ac"/>
        <w:numPr>
          <w:ilvl w:val="0"/>
          <w:numId w:val="35"/>
        </w:numPr>
        <w:rPr>
          <w:rFonts w:ascii="Times New Roman" w:hAnsi="Times New Roman"/>
          <w:lang w:val="ro-RO"/>
        </w:rPr>
      </w:pPr>
      <w:r w:rsidRPr="004435BE">
        <w:rPr>
          <w:rFonts w:ascii="Times New Roman" w:hAnsi="Times New Roman"/>
          <w:lang w:val="ro-RO"/>
        </w:rPr>
        <w:t xml:space="preserve">scoase de pe rol </w:t>
      </w:r>
      <w:r w:rsidR="00FF2CFE" w:rsidRPr="004435BE">
        <w:rPr>
          <w:rFonts w:ascii="Times New Roman" w:hAnsi="Times New Roman"/>
          <w:b/>
          <w:lang w:val="ro-RO"/>
        </w:rPr>
        <w:t>0</w:t>
      </w:r>
      <w:r w:rsidRPr="004435BE">
        <w:rPr>
          <w:rFonts w:ascii="Times New Roman" w:hAnsi="Times New Roman"/>
          <w:lang w:val="ro-RO"/>
        </w:rPr>
        <w:t xml:space="preserve"> cauze </w:t>
      </w:r>
    </w:p>
    <w:p w:rsidR="00895B4F" w:rsidRPr="004435BE" w:rsidRDefault="00895B4F" w:rsidP="004435BE">
      <w:pPr>
        <w:pStyle w:val="ac"/>
        <w:numPr>
          <w:ilvl w:val="0"/>
          <w:numId w:val="35"/>
        </w:numPr>
        <w:rPr>
          <w:rFonts w:ascii="Times New Roman" w:hAnsi="Times New Roman"/>
          <w:lang w:val="ro-RO"/>
        </w:rPr>
      </w:pPr>
      <w:r w:rsidRPr="004435BE">
        <w:rPr>
          <w:rFonts w:ascii="Times New Roman" w:hAnsi="Times New Roman"/>
          <w:lang w:val="ro-RO"/>
        </w:rPr>
        <w:t xml:space="preserve">restituite </w:t>
      </w:r>
      <w:r w:rsidR="0014535E" w:rsidRPr="004435BE">
        <w:rPr>
          <w:rFonts w:ascii="Times New Roman" w:hAnsi="Times New Roman"/>
          <w:b/>
          <w:lang w:val="ro-RO"/>
        </w:rPr>
        <w:t xml:space="preserve">8 </w:t>
      </w:r>
      <w:r w:rsidRPr="004435BE">
        <w:rPr>
          <w:rFonts w:ascii="Times New Roman" w:hAnsi="Times New Roman"/>
          <w:lang w:val="ro-RO"/>
        </w:rPr>
        <w:t>cauze (</w:t>
      </w:r>
      <w:r w:rsidR="00942895" w:rsidRPr="004435BE">
        <w:rPr>
          <w:rFonts w:ascii="Times New Roman" w:hAnsi="Times New Roman"/>
          <w:lang w:val="ro-RO"/>
        </w:rPr>
        <w:t>19,05</w:t>
      </w:r>
      <w:r w:rsidRPr="004435BE">
        <w:rPr>
          <w:rFonts w:ascii="Times New Roman" w:hAnsi="Times New Roman"/>
          <w:lang w:val="ro-RO"/>
        </w:rPr>
        <w:t xml:space="preserve"> %)</w:t>
      </w:r>
    </w:p>
    <w:p w:rsidR="00895B4F" w:rsidRPr="004435BE" w:rsidRDefault="00895B4F" w:rsidP="004435BE">
      <w:pPr>
        <w:pStyle w:val="ac"/>
        <w:numPr>
          <w:ilvl w:val="0"/>
          <w:numId w:val="35"/>
        </w:numPr>
        <w:rPr>
          <w:rFonts w:ascii="Times New Roman" w:hAnsi="Times New Roman"/>
          <w:lang w:val="ro-RO"/>
        </w:rPr>
      </w:pPr>
      <w:r w:rsidRPr="004435BE">
        <w:rPr>
          <w:rFonts w:ascii="Times New Roman" w:hAnsi="Times New Roman"/>
          <w:lang w:val="ro-RO"/>
        </w:rPr>
        <w:t xml:space="preserve">transmise altei judecătorii </w:t>
      </w:r>
      <w:r w:rsidR="0014535E" w:rsidRPr="004435BE">
        <w:rPr>
          <w:rFonts w:ascii="Times New Roman" w:hAnsi="Times New Roman"/>
          <w:b/>
          <w:lang w:val="ro-RO"/>
        </w:rPr>
        <w:t xml:space="preserve">1 </w:t>
      </w:r>
      <w:r w:rsidR="0014535E" w:rsidRPr="004435BE">
        <w:rPr>
          <w:rFonts w:ascii="Times New Roman" w:hAnsi="Times New Roman"/>
          <w:lang w:val="ro-RO"/>
        </w:rPr>
        <w:t>cauză (</w:t>
      </w:r>
      <w:r w:rsidR="00942895" w:rsidRPr="004435BE">
        <w:rPr>
          <w:rFonts w:ascii="Times New Roman" w:hAnsi="Times New Roman"/>
          <w:lang w:val="ro-RO"/>
        </w:rPr>
        <w:t>2,38</w:t>
      </w:r>
      <w:r w:rsidR="0014535E" w:rsidRPr="004435BE">
        <w:rPr>
          <w:rFonts w:ascii="Times New Roman" w:hAnsi="Times New Roman"/>
          <w:lang w:val="ro-RO"/>
        </w:rPr>
        <w:t>%)</w:t>
      </w:r>
    </w:p>
    <w:p w:rsidR="00895B4F" w:rsidRPr="0014535E" w:rsidRDefault="00850420" w:rsidP="004435BE">
      <w:pPr>
        <w:rPr>
          <w:lang w:val="ro-RO"/>
        </w:rPr>
      </w:pPr>
      <w:r w:rsidRPr="0014535E">
        <w:rPr>
          <w:lang w:val="ro-RO"/>
        </w:rPr>
        <w:t>Restanța</w:t>
      </w:r>
      <w:r w:rsidR="00895B4F" w:rsidRPr="0014535E">
        <w:rPr>
          <w:lang w:val="ro-RO"/>
        </w:rPr>
        <w:t xml:space="preserve"> constituie – </w:t>
      </w:r>
      <w:r w:rsidR="00895B4F" w:rsidRPr="0014535E">
        <w:rPr>
          <w:b/>
          <w:lang w:val="ro-RO"/>
        </w:rPr>
        <w:t>1</w:t>
      </w:r>
      <w:r w:rsidR="0014535E">
        <w:rPr>
          <w:b/>
          <w:lang w:val="ro-RO"/>
        </w:rPr>
        <w:t>21</w:t>
      </w:r>
      <w:r w:rsidR="00895B4F" w:rsidRPr="0014535E">
        <w:rPr>
          <w:lang w:val="ro-RO"/>
        </w:rPr>
        <w:t xml:space="preserve"> cauze (</w:t>
      </w:r>
      <w:r w:rsidR="00942895">
        <w:rPr>
          <w:lang w:val="ro-RO"/>
        </w:rPr>
        <w:t>74,23</w:t>
      </w:r>
      <w:r w:rsidR="00895B4F" w:rsidRPr="0014535E">
        <w:rPr>
          <w:lang w:val="ro-RO"/>
        </w:rPr>
        <w:t xml:space="preserve"> %);</w:t>
      </w:r>
    </w:p>
    <w:p w:rsidR="00895B4F" w:rsidRPr="0014535E" w:rsidRDefault="00895B4F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895B4F" w:rsidRPr="00200430" w:rsidRDefault="00895B4F" w:rsidP="004435BE">
      <w:pPr>
        <w:pStyle w:val="a5"/>
        <w:numPr>
          <w:ilvl w:val="0"/>
          <w:numId w:val="34"/>
        </w:numPr>
        <w:tabs>
          <w:tab w:val="left" w:pos="142"/>
        </w:tabs>
        <w:ind w:right="-1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</w:pPr>
      <w:r w:rsidRPr="00200430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 xml:space="preserve">Examinarea cauzelor civile în ordine de apel  </w:t>
      </w:r>
    </w:p>
    <w:p w:rsidR="00386DC0" w:rsidRPr="00200430" w:rsidRDefault="00895B4F" w:rsidP="00386DC0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200430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>(2a, 3a, 2a</w:t>
      </w:r>
      <w:r w:rsidR="002F20CF" w:rsidRPr="00200430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>c</w:t>
      </w:r>
      <w:r w:rsidRPr="00200430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>)</w:t>
      </w:r>
    </w:p>
    <w:p w:rsidR="00386DC0" w:rsidRPr="00200430" w:rsidRDefault="00386DC0" w:rsidP="00895B4F">
      <w:pPr>
        <w:pStyle w:val="a5"/>
        <w:tabs>
          <w:tab w:val="left" w:pos="142"/>
        </w:tabs>
        <w:ind w:right="-1"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</w:p>
    <w:p w:rsidR="00FF2CFE" w:rsidRPr="00200430" w:rsidRDefault="005F0920" w:rsidP="004435BE">
      <w:pPr>
        <w:rPr>
          <w:lang w:val="ro-RO"/>
        </w:rPr>
      </w:pPr>
      <w:r w:rsidRPr="00200430">
        <w:rPr>
          <w:lang w:val="ro-RO"/>
        </w:rPr>
        <w:t>Pe parcursul perioadei 6</w:t>
      </w:r>
      <w:r w:rsidR="00FF2CFE" w:rsidRPr="00200430">
        <w:rPr>
          <w:lang w:val="ro-RO"/>
        </w:rPr>
        <w:t xml:space="preserve"> luni a anului 2016 spre examinare la Curtea de Apel Cahul s-au aflat în procedură în total </w:t>
      </w:r>
      <w:r w:rsidR="00A903F7">
        <w:rPr>
          <w:b/>
          <w:lang w:val="ro-RO"/>
        </w:rPr>
        <w:t>325</w:t>
      </w:r>
      <w:r w:rsidR="00FF2CFE" w:rsidRPr="00200430">
        <w:rPr>
          <w:b/>
          <w:lang w:val="ro-RO"/>
        </w:rPr>
        <w:t xml:space="preserve"> cauze</w:t>
      </w:r>
      <w:r w:rsidR="00FF2CFE" w:rsidRPr="00200430">
        <w:rPr>
          <w:lang w:val="ro-RO"/>
        </w:rPr>
        <w:t xml:space="preserve"> civile</w:t>
      </w:r>
      <w:r w:rsidR="00386DC0" w:rsidRPr="00200430">
        <w:rPr>
          <w:lang w:val="ro-RO"/>
        </w:rPr>
        <w:t xml:space="preserve">  în ordine de apel</w:t>
      </w:r>
      <w:r w:rsidR="00FF2CFE" w:rsidRPr="00200430">
        <w:rPr>
          <w:lang w:val="ro-RO"/>
        </w:rPr>
        <w:t xml:space="preserve">, dintre care </w:t>
      </w:r>
      <w:r w:rsidR="00386DC0" w:rsidRPr="00200430">
        <w:rPr>
          <w:i/>
          <w:lang w:val="ro-RO"/>
        </w:rPr>
        <w:t>(ca</w:t>
      </w:r>
      <w:r w:rsidR="00A903F7">
        <w:rPr>
          <w:i/>
          <w:lang w:val="ro-RO"/>
        </w:rPr>
        <w:t>uze civile în ordine de apel-213</w:t>
      </w:r>
      <w:r w:rsidR="00386DC0" w:rsidRPr="00200430">
        <w:rPr>
          <w:i/>
          <w:lang w:val="ro-RO"/>
        </w:rPr>
        <w:t xml:space="preserve"> cauze, cauze de contencios ad</w:t>
      </w:r>
      <w:r w:rsidR="00A903F7">
        <w:rPr>
          <w:i/>
          <w:lang w:val="ro-RO"/>
        </w:rPr>
        <w:t>ministrativ în ordine de apel-70</w:t>
      </w:r>
      <w:r w:rsidR="00386DC0" w:rsidRPr="00200430">
        <w:rPr>
          <w:i/>
          <w:lang w:val="ro-RO"/>
        </w:rPr>
        <w:t>, cauz</w:t>
      </w:r>
      <w:r w:rsidR="00A903F7">
        <w:rPr>
          <w:i/>
          <w:lang w:val="ro-RO"/>
        </w:rPr>
        <w:t>e economice în ordine de apel-42</w:t>
      </w:r>
      <w:r w:rsidR="00386DC0" w:rsidRPr="00200430">
        <w:rPr>
          <w:i/>
          <w:lang w:val="ro-RO"/>
        </w:rPr>
        <w:t xml:space="preserve"> </w:t>
      </w:r>
      <w:r w:rsidR="00386DC0" w:rsidRPr="00200430">
        <w:rPr>
          <w:b/>
          <w:lang w:val="ro-RO"/>
        </w:rPr>
        <w:t>107</w:t>
      </w:r>
      <w:r w:rsidR="00FF2CFE" w:rsidRPr="00200430">
        <w:rPr>
          <w:b/>
          <w:lang w:val="ro-RO"/>
        </w:rPr>
        <w:t xml:space="preserve"> cauze</w:t>
      </w:r>
      <w:r w:rsidR="00FF2CFE" w:rsidRPr="00200430">
        <w:rPr>
          <w:lang w:val="ro-RO"/>
        </w:rPr>
        <w:t xml:space="preserve"> pendinte la începutul perioadei raportate,</w:t>
      </w:r>
      <w:r w:rsidR="00277A91">
        <w:rPr>
          <w:lang w:val="ro-RO"/>
        </w:rPr>
        <w:t xml:space="preserve"> </w:t>
      </w:r>
      <w:r w:rsidR="00A903F7">
        <w:rPr>
          <w:b/>
          <w:lang w:val="ro-RO"/>
        </w:rPr>
        <w:t>218</w:t>
      </w:r>
      <w:r w:rsidR="00386DC0" w:rsidRPr="00200430">
        <w:rPr>
          <w:b/>
          <w:lang w:val="ro-RO"/>
        </w:rPr>
        <w:t xml:space="preserve"> </w:t>
      </w:r>
      <w:r w:rsidR="00FF2CFE" w:rsidRPr="00200430">
        <w:rPr>
          <w:b/>
          <w:lang w:val="ro-RO"/>
        </w:rPr>
        <w:t>cauze</w:t>
      </w:r>
      <w:r w:rsidR="00FF2CFE" w:rsidRPr="00200430">
        <w:rPr>
          <w:lang w:val="ro-RO"/>
        </w:rPr>
        <w:t xml:space="preserve">  noi înregistrate</w:t>
      </w:r>
      <w:r w:rsidR="00277A91">
        <w:rPr>
          <w:lang w:val="ro-RO"/>
        </w:rPr>
        <w:t>.</w:t>
      </w:r>
    </w:p>
    <w:p w:rsidR="00FF2CFE" w:rsidRPr="00200430" w:rsidRDefault="00FF2CFE" w:rsidP="004435BE">
      <w:pPr>
        <w:rPr>
          <w:lang w:val="ro-RO"/>
        </w:rPr>
      </w:pPr>
      <w:r w:rsidRPr="00200430">
        <w:rPr>
          <w:lang w:val="ro-RO"/>
        </w:rPr>
        <w:t>Din totalul dosarelor aflate în procedură au fost  soluționate–</w:t>
      </w:r>
      <w:r w:rsidR="00A903F7">
        <w:rPr>
          <w:lang w:val="ro-RO"/>
        </w:rPr>
        <w:t xml:space="preserve"> </w:t>
      </w:r>
      <w:r w:rsidR="00277A91">
        <w:rPr>
          <w:b/>
          <w:lang w:val="ro-RO"/>
        </w:rPr>
        <w:t>221 dosare</w:t>
      </w:r>
      <w:r w:rsidR="00277A91">
        <w:rPr>
          <w:lang w:val="ro-RO"/>
        </w:rPr>
        <w:t xml:space="preserve">, </w:t>
      </w:r>
      <w:r w:rsidR="00277A91" w:rsidRPr="00200430">
        <w:rPr>
          <w:i/>
          <w:lang w:val="ro-RO"/>
        </w:rPr>
        <w:t xml:space="preserve">din care fără soluționare în fond </w:t>
      </w:r>
      <w:r w:rsidR="00277A91">
        <w:rPr>
          <w:i/>
          <w:lang w:val="ro-RO"/>
        </w:rPr>
        <w:t>40</w:t>
      </w:r>
      <w:r w:rsidR="00277A91" w:rsidRPr="00200430">
        <w:rPr>
          <w:i/>
          <w:lang w:val="ro-RO"/>
        </w:rPr>
        <w:t xml:space="preserve"> cauze, strămutate la CSJ -</w:t>
      </w:r>
      <w:r w:rsidR="00277A91">
        <w:rPr>
          <w:i/>
          <w:lang w:val="ro-RO"/>
        </w:rPr>
        <w:t xml:space="preserve"> 8</w:t>
      </w:r>
      <w:r w:rsidR="00277A91" w:rsidRPr="00200430">
        <w:rPr>
          <w:i/>
          <w:lang w:val="ro-RO"/>
        </w:rPr>
        <w:t xml:space="preserve"> cauze</w:t>
      </w:r>
    </w:p>
    <w:p w:rsidR="00FF2CFE" w:rsidRPr="00200430" w:rsidRDefault="00FF2CFE" w:rsidP="004435BE">
      <w:pPr>
        <w:rPr>
          <w:lang w:val="ro-RO"/>
        </w:rPr>
      </w:pPr>
      <w:r w:rsidRPr="00200430">
        <w:rPr>
          <w:lang w:val="ro-RO"/>
        </w:rPr>
        <w:t xml:space="preserve">Numărul dosarelor pendinte la sfîrșitul perioadei raportate constituie </w:t>
      </w:r>
      <w:r w:rsidR="00A903F7">
        <w:rPr>
          <w:b/>
          <w:lang w:val="ro-RO"/>
        </w:rPr>
        <w:t>104</w:t>
      </w:r>
      <w:r w:rsidRPr="00200430">
        <w:rPr>
          <w:b/>
          <w:lang w:val="ro-RO"/>
        </w:rPr>
        <w:t xml:space="preserve"> dosare.</w:t>
      </w:r>
    </w:p>
    <w:p w:rsidR="00FF2CFE" w:rsidRPr="00200430" w:rsidRDefault="00FF2CFE" w:rsidP="004435BE">
      <w:pPr>
        <w:rPr>
          <w:lang w:val="ro-RO"/>
        </w:rPr>
      </w:pPr>
      <w:r w:rsidRPr="00200430">
        <w:rPr>
          <w:lang w:val="ro-RO"/>
        </w:rPr>
        <w:t xml:space="preserve">Rata de variație a stocului de cauze (raportul dintre cauzele noi înregistrate și cele pendinte la începutul perioadei raportate) constituie </w:t>
      </w:r>
      <w:r w:rsidR="00A903F7" w:rsidRPr="00A903F7">
        <w:rPr>
          <w:b/>
          <w:lang w:val="ro-RO"/>
        </w:rPr>
        <w:t>101,38%</w:t>
      </w:r>
      <w:r w:rsidR="00A903F7">
        <w:rPr>
          <w:b/>
          <w:lang w:val="ro-RO"/>
        </w:rPr>
        <w:t>.</w:t>
      </w:r>
    </w:p>
    <w:p w:rsidR="00FF2CFE" w:rsidRPr="00200430" w:rsidRDefault="00FF2CFE" w:rsidP="004435BE">
      <w:pPr>
        <w:rPr>
          <w:b/>
          <w:lang w:val="ro-RO"/>
        </w:rPr>
      </w:pPr>
      <w:r w:rsidRPr="00200430">
        <w:rPr>
          <w:lang w:val="ro-RO"/>
        </w:rPr>
        <w:t xml:space="preserve">Numărul de cauze penale examinate de un judecător în mediu  constituie </w:t>
      </w:r>
      <w:r w:rsidR="00A903F7">
        <w:rPr>
          <w:b/>
          <w:lang w:val="ro-RO"/>
        </w:rPr>
        <w:t>15</w:t>
      </w:r>
      <w:r w:rsidRPr="00200430">
        <w:rPr>
          <w:b/>
          <w:lang w:val="ro-RO"/>
        </w:rPr>
        <w:t xml:space="preserve"> dosare.</w:t>
      </w:r>
    </w:p>
    <w:p w:rsidR="00FF2CFE" w:rsidRPr="00200430" w:rsidRDefault="00FF2CFE" w:rsidP="004435BE">
      <w:pPr>
        <w:rPr>
          <w:lang w:val="ro-RO"/>
        </w:rPr>
      </w:pPr>
    </w:p>
    <w:p w:rsidR="00FF2CFE" w:rsidRPr="00200430" w:rsidRDefault="00FF2CFE" w:rsidP="004435BE">
      <w:pPr>
        <w:rPr>
          <w:lang w:val="ro-RO"/>
        </w:rPr>
      </w:pPr>
      <w:r w:rsidRPr="00200430">
        <w:rPr>
          <w:lang w:val="ro-RO"/>
        </w:rPr>
        <w:t xml:space="preserve">În anul 2016 comparativ cu aceeași perioadă a anului 2015 numărul dosarelor pendinte la începutul perioadei raportate a înregistrat  o </w:t>
      </w:r>
      <w:r w:rsidR="00A903F7">
        <w:rPr>
          <w:lang w:val="ro-RO"/>
        </w:rPr>
        <w:t xml:space="preserve">scădere </w:t>
      </w:r>
      <w:r w:rsidRPr="00200430">
        <w:rPr>
          <w:lang w:val="ro-RO"/>
        </w:rPr>
        <w:t xml:space="preserve">cu </w:t>
      </w:r>
      <w:r w:rsidR="00A903F7">
        <w:rPr>
          <w:lang w:val="ro-RO"/>
        </w:rPr>
        <w:t>39</w:t>
      </w:r>
      <w:r w:rsidRPr="00200430">
        <w:rPr>
          <w:lang w:val="ro-RO"/>
        </w:rPr>
        <w:t xml:space="preserve"> dosare.</w:t>
      </w:r>
    </w:p>
    <w:p w:rsidR="00FF2CFE" w:rsidRPr="00200430" w:rsidRDefault="00FF2CFE" w:rsidP="004435BE">
      <w:pPr>
        <w:rPr>
          <w:lang w:val="ro-RO"/>
        </w:rPr>
      </w:pPr>
      <w:r w:rsidRPr="00200430">
        <w:rPr>
          <w:lang w:val="ro-RO"/>
        </w:rPr>
        <w:t xml:space="preserve">Dosarele noi înregistrate dimpotrivă au înregistrat o scădere cu </w:t>
      </w:r>
      <w:r w:rsidR="00A903F7">
        <w:rPr>
          <w:lang w:val="ro-RO"/>
        </w:rPr>
        <w:t xml:space="preserve">93 </w:t>
      </w:r>
      <w:r w:rsidRPr="00200430">
        <w:rPr>
          <w:lang w:val="ro-RO"/>
        </w:rPr>
        <w:t xml:space="preserve">cauze. </w:t>
      </w:r>
    </w:p>
    <w:p w:rsidR="002D4363" w:rsidRPr="00704F0D" w:rsidRDefault="00FF2CFE" w:rsidP="004435BE">
      <w:pPr>
        <w:rPr>
          <w:bCs/>
          <w:szCs w:val="28"/>
          <w:lang w:val="ro-RO"/>
        </w:rPr>
      </w:pPr>
      <w:r w:rsidRPr="00200430">
        <w:rPr>
          <w:lang w:val="ro-RO"/>
        </w:rPr>
        <w:t>Cauze soluți</w:t>
      </w:r>
      <w:r w:rsidR="00A903F7">
        <w:rPr>
          <w:lang w:val="ro-RO"/>
        </w:rPr>
        <w:t>onate ne indică o scădere cu  85</w:t>
      </w:r>
      <w:r w:rsidRPr="00200430">
        <w:rPr>
          <w:lang w:val="ro-RO"/>
        </w:rPr>
        <w:t xml:space="preserve"> dosare, iar  cele pendinte o scădere cu </w:t>
      </w:r>
      <w:r w:rsidR="00A903F7">
        <w:rPr>
          <w:lang w:val="ro-RO"/>
        </w:rPr>
        <w:t>47</w:t>
      </w:r>
      <w:r w:rsidRPr="00200430">
        <w:rPr>
          <w:lang w:val="ro-RO"/>
        </w:rPr>
        <w:t xml:space="preserve"> dosare. </w:t>
      </w:r>
    </w:p>
    <w:p w:rsidR="00FF2CFE" w:rsidRDefault="00FF2CFE" w:rsidP="002D4363">
      <w:pPr>
        <w:pStyle w:val="a5"/>
        <w:ind w:firstLine="720"/>
        <w:jc w:val="center"/>
        <w:rPr>
          <w:rFonts w:ascii="Times New Roman" w:hAnsi="Times New Roman"/>
          <w:i/>
          <w:color w:val="000000" w:themeColor="text1"/>
          <w:sz w:val="24"/>
          <w:szCs w:val="24"/>
          <w:lang w:val="ro-RO"/>
        </w:rPr>
      </w:pPr>
      <w:r w:rsidRPr="00200430">
        <w:rPr>
          <w:rFonts w:ascii="Times New Roman" w:hAnsi="Times New Roman"/>
          <w:i/>
          <w:color w:val="000000" w:themeColor="text1"/>
          <w:sz w:val="24"/>
          <w:szCs w:val="24"/>
          <w:lang w:val="ro-RO"/>
        </w:rPr>
        <w:t>Analiza activității comparative în diagramă</w:t>
      </w:r>
    </w:p>
    <w:p w:rsidR="00194494" w:rsidRPr="00704F0D" w:rsidRDefault="00A903F7" w:rsidP="00704F0D">
      <w:pPr>
        <w:pStyle w:val="a5"/>
        <w:ind w:firstLine="720"/>
        <w:jc w:val="center"/>
        <w:rPr>
          <w:rFonts w:ascii="Times New Roman" w:hAnsi="Times New Roman"/>
          <w:i/>
          <w:color w:val="000000" w:themeColor="text1"/>
          <w:sz w:val="24"/>
          <w:szCs w:val="24"/>
          <w:lang w:val="ro-RO"/>
        </w:rPr>
      </w:pPr>
      <w:r>
        <w:rPr>
          <w:noProof/>
          <w:lang w:val="ro-RO" w:eastAsia="ro-RO"/>
        </w:rPr>
        <w:drawing>
          <wp:inline distT="0" distB="0" distL="0" distR="0" wp14:anchorId="2033BABB" wp14:editId="26C659FC">
            <wp:extent cx="4781550" cy="2714625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895B4F" w:rsidRPr="00200430" w:rsidRDefault="00895B4F" w:rsidP="00C31491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</w:p>
    <w:p w:rsidR="00895B4F" w:rsidRPr="00200430" w:rsidRDefault="00895B4F" w:rsidP="004435BE">
      <w:pPr>
        <w:rPr>
          <w:lang w:val="ro-RO"/>
        </w:rPr>
      </w:pPr>
      <w:r w:rsidRPr="00200430">
        <w:rPr>
          <w:lang w:val="ro-RO"/>
        </w:rPr>
        <w:lastRenderedPageBreak/>
        <w:t xml:space="preserve">În Judecătoriile din </w:t>
      </w:r>
      <w:r w:rsidR="00850420" w:rsidRPr="00200430">
        <w:rPr>
          <w:lang w:val="ro-RO"/>
        </w:rPr>
        <w:t>circumscripția</w:t>
      </w:r>
      <w:r w:rsidRPr="00200430">
        <w:rPr>
          <w:lang w:val="ro-RO"/>
        </w:rPr>
        <w:t xml:space="preserve"> </w:t>
      </w:r>
      <w:r w:rsidR="00850420" w:rsidRPr="00200430">
        <w:rPr>
          <w:lang w:val="ro-RO"/>
        </w:rPr>
        <w:t>Curții</w:t>
      </w:r>
      <w:r w:rsidRPr="00200430">
        <w:rPr>
          <w:lang w:val="ro-RO"/>
        </w:rPr>
        <w:t xml:space="preserve"> de Apel Cahul și alte instanțe procentul de casare a hotărîrilor atacate cu cereri de apel este următorul:</w:t>
      </w:r>
    </w:p>
    <w:p w:rsidR="00895B4F" w:rsidRPr="00200430" w:rsidRDefault="00895B4F" w:rsidP="00895B4F">
      <w:pPr>
        <w:pStyle w:val="a5"/>
        <w:tabs>
          <w:tab w:val="left" w:pos="142"/>
        </w:tabs>
        <w:ind w:right="-1"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</w:p>
    <w:p w:rsidR="00895B4F" w:rsidRPr="00200430" w:rsidRDefault="00895B4F" w:rsidP="00895B4F">
      <w:pPr>
        <w:pStyle w:val="a5"/>
        <w:tabs>
          <w:tab w:val="left" w:pos="142"/>
        </w:tabs>
        <w:ind w:right="-1"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200430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ro-RO"/>
        </w:rPr>
        <w:t>Judecătoria Cahul</w:t>
      </w:r>
      <w:r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– examinate – </w:t>
      </w:r>
      <w:r w:rsidR="0051409B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>76</w:t>
      </w:r>
      <w:r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cauze, cu </w:t>
      </w:r>
      <w:r w:rsidR="0051409B">
        <w:rPr>
          <w:rFonts w:ascii="Times New Roman" w:hAnsi="Times New Roman"/>
          <w:color w:val="000000" w:themeColor="text1"/>
          <w:sz w:val="24"/>
          <w:szCs w:val="24"/>
          <w:lang w:val="ro-RO"/>
        </w:rPr>
        <w:t>55</w:t>
      </w:r>
      <w:r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cauze mai puțin ca în </w:t>
      </w:r>
      <w:r w:rsidR="00850420"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>aceeași</w:t>
      </w:r>
      <w:r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perioadă a anului 201</w:t>
      </w:r>
      <w:r w:rsidR="007C0E8B"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>5</w:t>
      </w:r>
      <w:r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>.</w:t>
      </w:r>
    </w:p>
    <w:p w:rsidR="00F3179A" w:rsidRDefault="00895B4F" w:rsidP="00A11C87">
      <w:pPr>
        <w:pStyle w:val="a5"/>
        <w:numPr>
          <w:ilvl w:val="0"/>
          <w:numId w:val="20"/>
        </w:numPr>
        <w:tabs>
          <w:tab w:val="left" w:pos="142"/>
        </w:tabs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menținute fără modificări – </w:t>
      </w:r>
      <w:r w:rsidR="0051409B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>48</w:t>
      </w:r>
      <w:r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cauze (</w:t>
      </w:r>
      <w:r w:rsidR="00F3179A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63,16 </w:t>
      </w:r>
      <w:r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>%)</w:t>
      </w:r>
      <w:r w:rsidR="0051409B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, </w:t>
      </w:r>
      <w:r w:rsidR="0051409B"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>cu</w:t>
      </w:r>
      <w:r w:rsidR="0051409B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="0051409B"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="0051409B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19 </w:t>
      </w:r>
      <w:r w:rsidR="0051409B"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cauze mai </w:t>
      </w:r>
      <w:r w:rsidR="0051409B">
        <w:rPr>
          <w:rFonts w:ascii="Times New Roman" w:hAnsi="Times New Roman"/>
          <w:color w:val="000000" w:themeColor="text1"/>
          <w:sz w:val="24"/>
          <w:szCs w:val="24"/>
          <w:lang w:val="ro-RO"/>
        </w:rPr>
        <w:t>puțin</w:t>
      </w:r>
      <w:r w:rsidR="0051409B"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ca în </w:t>
      </w:r>
      <w:r w:rsidR="00850420"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>aceeași</w:t>
      </w:r>
      <w:r w:rsidR="0051409B"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perioadă a anului 2015</w:t>
      </w:r>
      <w:r w:rsidR="0051409B">
        <w:rPr>
          <w:rFonts w:ascii="Times New Roman" w:hAnsi="Times New Roman"/>
          <w:color w:val="000000" w:themeColor="text1"/>
          <w:sz w:val="24"/>
          <w:szCs w:val="24"/>
          <w:lang w:val="ro-RO"/>
        </w:rPr>
        <w:t>,</w:t>
      </w:r>
    </w:p>
    <w:p w:rsidR="00F3179A" w:rsidRDefault="00895B4F" w:rsidP="00A11C87">
      <w:pPr>
        <w:pStyle w:val="a5"/>
        <w:numPr>
          <w:ilvl w:val="0"/>
          <w:numId w:val="20"/>
        </w:numPr>
        <w:tabs>
          <w:tab w:val="left" w:pos="142"/>
        </w:tabs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F3179A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casate– </w:t>
      </w:r>
      <w:r w:rsidR="0051409B" w:rsidRPr="00F3179A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="0051409B" w:rsidRPr="00F3179A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 xml:space="preserve">23 </w:t>
      </w:r>
      <w:r w:rsidRPr="00F3179A">
        <w:rPr>
          <w:rFonts w:ascii="Times New Roman" w:hAnsi="Times New Roman"/>
          <w:color w:val="000000" w:themeColor="text1"/>
          <w:sz w:val="24"/>
          <w:szCs w:val="24"/>
          <w:lang w:val="ro-RO"/>
        </w:rPr>
        <w:t>cauze</w:t>
      </w:r>
      <w:r w:rsidR="0051409B" w:rsidRPr="00F3179A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Pr="00F3179A">
        <w:rPr>
          <w:rFonts w:ascii="Times New Roman" w:hAnsi="Times New Roman"/>
          <w:color w:val="000000" w:themeColor="text1"/>
          <w:sz w:val="24"/>
          <w:szCs w:val="24"/>
          <w:lang w:val="ro-RO"/>
        </w:rPr>
        <w:t>(</w:t>
      </w:r>
      <w:r w:rsidR="00F3179A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30,26 </w:t>
      </w:r>
      <w:r w:rsidRPr="00F3179A">
        <w:rPr>
          <w:rFonts w:ascii="Times New Roman" w:hAnsi="Times New Roman"/>
          <w:color w:val="000000" w:themeColor="text1"/>
          <w:sz w:val="24"/>
          <w:szCs w:val="24"/>
          <w:lang w:val="ro-RO"/>
        </w:rPr>
        <w:t>%)</w:t>
      </w:r>
      <w:r w:rsidR="0051409B" w:rsidRPr="00F3179A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, cu </w:t>
      </w:r>
      <w:r w:rsidR="0051409B" w:rsidRPr="00F3179A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>27</w:t>
      </w:r>
      <w:r w:rsidR="0051409B" w:rsidRPr="00F3179A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cauze mai puțin ca în </w:t>
      </w:r>
      <w:r w:rsidR="00850420" w:rsidRPr="00F3179A">
        <w:rPr>
          <w:rFonts w:ascii="Times New Roman" w:hAnsi="Times New Roman"/>
          <w:color w:val="000000" w:themeColor="text1"/>
          <w:sz w:val="24"/>
          <w:szCs w:val="24"/>
          <w:lang w:val="ro-RO"/>
        </w:rPr>
        <w:t>aceeași</w:t>
      </w:r>
      <w:r w:rsidR="0051409B" w:rsidRPr="00F3179A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perioadă a anului 2015,</w:t>
      </w:r>
    </w:p>
    <w:p w:rsidR="00895B4F" w:rsidRPr="00F3179A" w:rsidRDefault="0051409B" w:rsidP="00A11C87">
      <w:pPr>
        <w:pStyle w:val="a5"/>
        <w:numPr>
          <w:ilvl w:val="0"/>
          <w:numId w:val="20"/>
        </w:numPr>
        <w:tabs>
          <w:tab w:val="left" w:pos="142"/>
        </w:tabs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F3179A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modificate – </w:t>
      </w:r>
      <w:r w:rsidRPr="007520D2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>5</w:t>
      </w:r>
      <w:r w:rsidR="00895B4F" w:rsidRPr="00F3179A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cauze(</w:t>
      </w:r>
      <w:r w:rsidR="00F3179A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6,58 </w:t>
      </w:r>
      <w:r w:rsidR="00895B4F" w:rsidRPr="00F3179A">
        <w:rPr>
          <w:rFonts w:ascii="Times New Roman" w:hAnsi="Times New Roman"/>
          <w:color w:val="000000" w:themeColor="text1"/>
          <w:sz w:val="24"/>
          <w:szCs w:val="24"/>
          <w:lang w:val="ro-RO"/>
        </w:rPr>
        <w:t>%)</w:t>
      </w:r>
      <w:r w:rsidRPr="00F3179A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, cu </w:t>
      </w:r>
      <w:r w:rsidRPr="00F3179A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 xml:space="preserve">5 </w:t>
      </w:r>
      <w:r w:rsidRPr="00F3179A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cauze mai puțin ca în </w:t>
      </w:r>
      <w:r w:rsidR="00850420" w:rsidRPr="00F3179A">
        <w:rPr>
          <w:rFonts w:ascii="Times New Roman" w:hAnsi="Times New Roman"/>
          <w:color w:val="000000" w:themeColor="text1"/>
          <w:sz w:val="24"/>
          <w:szCs w:val="24"/>
          <w:lang w:val="ro-RO"/>
        </w:rPr>
        <w:t>aceeași</w:t>
      </w:r>
      <w:r w:rsidRPr="00F3179A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perioadă a anului 2015,</w:t>
      </w:r>
    </w:p>
    <w:p w:rsidR="007C0E8B" w:rsidRPr="00200430" w:rsidRDefault="007C0E8B" w:rsidP="007C0E8B">
      <w:pPr>
        <w:ind w:left="720"/>
        <w:rPr>
          <w:color w:val="000000" w:themeColor="text1"/>
          <w:szCs w:val="24"/>
          <w:lang w:val="ro-RO"/>
        </w:rPr>
      </w:pPr>
    </w:p>
    <w:p w:rsidR="00895B4F" w:rsidRPr="00200430" w:rsidRDefault="00895B4F" w:rsidP="00895B4F">
      <w:pPr>
        <w:pStyle w:val="a5"/>
        <w:tabs>
          <w:tab w:val="left" w:pos="142"/>
        </w:tabs>
        <w:ind w:right="-1" w:firstLine="426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200430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ro-RO"/>
        </w:rPr>
        <w:t>Judecătoria Leova</w:t>
      </w:r>
      <w:r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– examinate – </w:t>
      </w:r>
      <w:r w:rsidR="0051409B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>21</w:t>
      </w:r>
      <w:r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cauze, cu </w:t>
      </w:r>
      <w:r w:rsidR="0051409B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>7</w:t>
      </w:r>
      <w:r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cauze mai mult ca în </w:t>
      </w:r>
      <w:r w:rsidR="00850420"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>aceeași</w:t>
      </w:r>
      <w:r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perioadă a anului 201</w:t>
      </w:r>
      <w:r w:rsidR="00B15BB2"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>5</w:t>
      </w:r>
      <w:r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>,</w:t>
      </w:r>
    </w:p>
    <w:p w:rsidR="00F3179A" w:rsidRDefault="00895B4F" w:rsidP="00A11C87">
      <w:pPr>
        <w:pStyle w:val="a5"/>
        <w:numPr>
          <w:ilvl w:val="0"/>
          <w:numId w:val="21"/>
        </w:numPr>
        <w:tabs>
          <w:tab w:val="left" w:pos="142"/>
        </w:tabs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menținute fără modificări – </w:t>
      </w:r>
      <w:r w:rsidR="0051409B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 xml:space="preserve">10 </w:t>
      </w:r>
      <w:r w:rsidR="000054F0"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>cauze (</w:t>
      </w:r>
      <w:r w:rsidR="00942895">
        <w:rPr>
          <w:rFonts w:ascii="Times New Roman" w:hAnsi="Times New Roman"/>
          <w:color w:val="000000" w:themeColor="text1"/>
          <w:sz w:val="24"/>
          <w:szCs w:val="24"/>
          <w:lang w:val="ro-RO"/>
        </w:rPr>
        <w:t>47,62</w:t>
      </w:r>
      <w:r w:rsidR="0051409B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%), </w:t>
      </w:r>
      <w:r w:rsidR="0051409B"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>cu</w:t>
      </w:r>
      <w:r w:rsidR="0051409B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="0051409B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>6</w:t>
      </w:r>
      <w:r w:rsidR="00942895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 xml:space="preserve"> </w:t>
      </w:r>
      <w:r w:rsidR="0051409B"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cauze mai </w:t>
      </w:r>
      <w:r w:rsidR="0051409B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mult </w:t>
      </w:r>
      <w:r w:rsidR="0051409B"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ca în </w:t>
      </w:r>
      <w:r w:rsidR="00850420"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>aceeași</w:t>
      </w:r>
      <w:r w:rsidR="0051409B"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perioadă a anului 2015</w:t>
      </w:r>
      <w:r w:rsidR="00F3179A">
        <w:rPr>
          <w:rFonts w:ascii="Times New Roman" w:hAnsi="Times New Roman"/>
          <w:color w:val="000000" w:themeColor="text1"/>
          <w:sz w:val="24"/>
          <w:szCs w:val="24"/>
          <w:lang w:val="ro-RO"/>
        </w:rPr>
        <w:t>,</w:t>
      </w:r>
    </w:p>
    <w:p w:rsidR="00F3179A" w:rsidRDefault="00895B4F" w:rsidP="00A11C87">
      <w:pPr>
        <w:pStyle w:val="a5"/>
        <w:numPr>
          <w:ilvl w:val="0"/>
          <w:numId w:val="21"/>
        </w:numPr>
        <w:tabs>
          <w:tab w:val="left" w:pos="142"/>
        </w:tabs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F3179A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casate– </w:t>
      </w:r>
      <w:r w:rsidR="0051409B" w:rsidRPr="00F3179A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 xml:space="preserve"> 9 </w:t>
      </w:r>
      <w:r w:rsidRPr="00F3179A">
        <w:rPr>
          <w:rFonts w:ascii="Times New Roman" w:hAnsi="Times New Roman"/>
          <w:color w:val="000000" w:themeColor="text1"/>
          <w:sz w:val="24"/>
          <w:szCs w:val="24"/>
          <w:lang w:val="ro-RO"/>
        </w:rPr>
        <w:t>cauze</w:t>
      </w:r>
      <w:r w:rsidR="000054F0" w:rsidRPr="00F3179A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(</w:t>
      </w:r>
      <w:r w:rsidR="00F3179A">
        <w:rPr>
          <w:rFonts w:ascii="Times New Roman" w:hAnsi="Times New Roman"/>
          <w:color w:val="000000" w:themeColor="text1"/>
          <w:sz w:val="24"/>
          <w:szCs w:val="24"/>
          <w:lang w:val="ro-RO"/>
        </w:rPr>
        <w:t>42,86</w:t>
      </w:r>
      <w:r w:rsidR="0051409B" w:rsidRPr="00F3179A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%), cu 6 cauze mai mult  ca în </w:t>
      </w:r>
      <w:r w:rsidR="00850420" w:rsidRPr="00F3179A">
        <w:rPr>
          <w:rFonts w:ascii="Times New Roman" w:hAnsi="Times New Roman"/>
          <w:color w:val="000000" w:themeColor="text1"/>
          <w:sz w:val="24"/>
          <w:szCs w:val="24"/>
          <w:lang w:val="ro-RO"/>
        </w:rPr>
        <w:t>aceeași</w:t>
      </w:r>
      <w:r w:rsidR="0051409B" w:rsidRPr="00F3179A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perioadă a anului 2015,</w:t>
      </w:r>
    </w:p>
    <w:p w:rsidR="0051409B" w:rsidRPr="00F3179A" w:rsidRDefault="0051409B" w:rsidP="00A11C87">
      <w:pPr>
        <w:pStyle w:val="a5"/>
        <w:numPr>
          <w:ilvl w:val="0"/>
          <w:numId w:val="21"/>
        </w:numPr>
        <w:tabs>
          <w:tab w:val="left" w:pos="142"/>
        </w:tabs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F3179A">
        <w:rPr>
          <w:rFonts w:ascii="Times New Roman" w:hAnsi="Times New Roman"/>
          <w:color w:val="000000" w:themeColor="text1"/>
          <w:sz w:val="24"/>
          <w:szCs w:val="24"/>
          <w:lang w:val="ro-RO"/>
        </w:rPr>
        <w:t>modificate –</w:t>
      </w:r>
      <w:r w:rsidRPr="0014535E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 xml:space="preserve"> 2</w:t>
      </w:r>
      <w:r w:rsidRPr="00F3179A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cauze (</w:t>
      </w:r>
      <w:r w:rsidR="00F3179A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9,52 </w:t>
      </w:r>
      <w:r w:rsidRPr="00F3179A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%), la fel ca în </w:t>
      </w:r>
      <w:r w:rsidR="00850420" w:rsidRPr="00F3179A">
        <w:rPr>
          <w:rFonts w:ascii="Times New Roman" w:hAnsi="Times New Roman"/>
          <w:color w:val="000000" w:themeColor="text1"/>
          <w:sz w:val="24"/>
          <w:szCs w:val="24"/>
          <w:lang w:val="ro-RO"/>
        </w:rPr>
        <w:t>aceeași</w:t>
      </w:r>
      <w:r w:rsidRPr="00F3179A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perioadă a anului 2015,</w:t>
      </w:r>
    </w:p>
    <w:p w:rsidR="007C0E8B" w:rsidRPr="00200430" w:rsidRDefault="007C0E8B" w:rsidP="0051409B">
      <w:pPr>
        <w:rPr>
          <w:color w:val="000000" w:themeColor="text1"/>
          <w:szCs w:val="24"/>
          <w:lang w:val="ro-RO"/>
        </w:rPr>
      </w:pPr>
    </w:p>
    <w:p w:rsidR="00F3179A" w:rsidRDefault="00895B4F" w:rsidP="00895B4F">
      <w:pPr>
        <w:tabs>
          <w:tab w:val="left" w:pos="142"/>
        </w:tabs>
        <w:ind w:left="567" w:right="-1"/>
        <w:rPr>
          <w:color w:val="000000" w:themeColor="text1"/>
          <w:szCs w:val="24"/>
          <w:lang w:val="ro-RO"/>
        </w:rPr>
      </w:pPr>
      <w:r w:rsidRPr="00200430">
        <w:rPr>
          <w:b/>
          <w:color w:val="000000" w:themeColor="text1"/>
          <w:szCs w:val="24"/>
          <w:u w:val="single"/>
          <w:lang w:val="ro-RO"/>
        </w:rPr>
        <w:t>Judecătoria Cantemir</w:t>
      </w:r>
      <w:r w:rsidRPr="00200430">
        <w:rPr>
          <w:color w:val="000000" w:themeColor="text1"/>
          <w:szCs w:val="24"/>
          <w:lang w:val="ro-RO"/>
        </w:rPr>
        <w:t xml:space="preserve"> – examinate – </w:t>
      </w:r>
      <w:r w:rsidR="0051409B">
        <w:rPr>
          <w:b/>
          <w:color w:val="000000" w:themeColor="text1"/>
          <w:szCs w:val="24"/>
          <w:lang w:val="ro-RO"/>
        </w:rPr>
        <w:t>29</w:t>
      </w:r>
      <w:r w:rsidRPr="00200430">
        <w:rPr>
          <w:color w:val="000000" w:themeColor="text1"/>
          <w:szCs w:val="24"/>
          <w:lang w:val="ro-RO"/>
        </w:rPr>
        <w:t xml:space="preserve"> cauze, cu </w:t>
      </w:r>
      <w:r w:rsidR="0051409B">
        <w:rPr>
          <w:color w:val="000000" w:themeColor="text1"/>
          <w:szCs w:val="24"/>
          <w:lang w:val="ro-RO"/>
        </w:rPr>
        <w:t>3</w:t>
      </w:r>
      <w:r w:rsidRPr="00200430">
        <w:rPr>
          <w:color w:val="000000" w:themeColor="text1"/>
          <w:szCs w:val="24"/>
          <w:lang w:val="ro-RO"/>
        </w:rPr>
        <w:t xml:space="preserve"> cauze mai </w:t>
      </w:r>
      <w:r w:rsidR="0051409B">
        <w:rPr>
          <w:color w:val="000000" w:themeColor="text1"/>
          <w:szCs w:val="24"/>
          <w:lang w:val="ro-RO"/>
        </w:rPr>
        <w:t>puțin</w:t>
      </w:r>
      <w:r w:rsidRPr="00200430">
        <w:rPr>
          <w:color w:val="000000" w:themeColor="text1"/>
          <w:szCs w:val="24"/>
          <w:lang w:val="ro-RO"/>
        </w:rPr>
        <w:t xml:space="preserve"> ca în </w:t>
      </w:r>
      <w:r w:rsidR="00850420" w:rsidRPr="00200430">
        <w:rPr>
          <w:color w:val="000000" w:themeColor="text1"/>
          <w:szCs w:val="24"/>
          <w:lang w:val="ro-RO"/>
        </w:rPr>
        <w:t>aceeași</w:t>
      </w:r>
      <w:r w:rsidRPr="00200430">
        <w:rPr>
          <w:color w:val="000000" w:themeColor="text1"/>
          <w:szCs w:val="24"/>
          <w:lang w:val="ro-RO"/>
        </w:rPr>
        <w:t xml:space="preserve"> perioadă a anului 201</w:t>
      </w:r>
      <w:r w:rsidR="00B15BB2" w:rsidRPr="00200430">
        <w:rPr>
          <w:color w:val="000000" w:themeColor="text1"/>
          <w:szCs w:val="24"/>
          <w:lang w:val="ro-RO"/>
        </w:rPr>
        <w:t>5</w:t>
      </w:r>
      <w:r w:rsidR="00F3179A">
        <w:rPr>
          <w:color w:val="000000" w:themeColor="text1"/>
          <w:szCs w:val="24"/>
          <w:lang w:val="ro-RO"/>
        </w:rPr>
        <w:t>,</w:t>
      </w:r>
      <w:r w:rsidR="00F3179A">
        <w:rPr>
          <w:color w:val="000000" w:themeColor="text1"/>
          <w:szCs w:val="24"/>
          <w:lang w:val="ro-RO"/>
        </w:rPr>
        <w:tab/>
      </w:r>
    </w:p>
    <w:p w:rsidR="00F3179A" w:rsidRDefault="00895B4F" w:rsidP="00A11C87">
      <w:pPr>
        <w:pStyle w:val="ac"/>
        <w:numPr>
          <w:ilvl w:val="0"/>
          <w:numId w:val="22"/>
        </w:numPr>
        <w:tabs>
          <w:tab w:val="left" w:pos="142"/>
        </w:tabs>
        <w:ind w:right="-1"/>
        <w:rPr>
          <w:rFonts w:ascii="Times New Roman" w:hAnsi="Times New Roman"/>
          <w:color w:val="000000" w:themeColor="text1"/>
          <w:szCs w:val="24"/>
          <w:lang w:val="ro-RO"/>
        </w:rPr>
      </w:pPr>
      <w:r w:rsidRPr="00F3179A">
        <w:rPr>
          <w:rFonts w:ascii="Times New Roman" w:hAnsi="Times New Roman"/>
          <w:color w:val="000000" w:themeColor="text1"/>
          <w:szCs w:val="24"/>
          <w:lang w:val="ro-RO"/>
        </w:rPr>
        <w:t xml:space="preserve">menținute fără modificări – </w:t>
      </w:r>
      <w:r w:rsidR="0051409B" w:rsidRPr="00F3179A">
        <w:rPr>
          <w:rFonts w:ascii="Times New Roman" w:hAnsi="Times New Roman"/>
          <w:b/>
          <w:color w:val="000000" w:themeColor="text1"/>
          <w:szCs w:val="24"/>
          <w:lang w:val="ro-RO"/>
        </w:rPr>
        <w:t>15</w:t>
      </w:r>
      <w:r w:rsidR="000054F0" w:rsidRPr="00F3179A">
        <w:rPr>
          <w:rFonts w:ascii="Times New Roman" w:hAnsi="Times New Roman"/>
          <w:color w:val="000000" w:themeColor="text1"/>
          <w:szCs w:val="24"/>
          <w:lang w:val="ro-RO"/>
        </w:rPr>
        <w:t xml:space="preserve"> cauze (</w:t>
      </w:r>
      <w:r w:rsidR="00F3179A">
        <w:rPr>
          <w:rFonts w:ascii="Times New Roman" w:hAnsi="Times New Roman"/>
          <w:color w:val="000000" w:themeColor="text1"/>
          <w:szCs w:val="24"/>
          <w:lang w:val="ro-RO"/>
        </w:rPr>
        <w:t>51,72</w:t>
      </w:r>
      <w:r w:rsidR="000054F0" w:rsidRPr="00F3179A">
        <w:rPr>
          <w:rFonts w:ascii="Times New Roman" w:hAnsi="Times New Roman"/>
          <w:color w:val="000000" w:themeColor="text1"/>
          <w:szCs w:val="24"/>
          <w:lang w:val="ro-RO"/>
        </w:rPr>
        <w:t xml:space="preserve"> </w:t>
      </w:r>
      <w:r w:rsidR="0051409B" w:rsidRPr="00F3179A">
        <w:rPr>
          <w:rFonts w:ascii="Times New Roman" w:hAnsi="Times New Roman"/>
          <w:color w:val="000000" w:themeColor="text1"/>
          <w:szCs w:val="24"/>
          <w:lang w:val="ro-RO"/>
        </w:rPr>
        <w:t xml:space="preserve">%), cu 14 cauze mai mult ca în </w:t>
      </w:r>
      <w:r w:rsidR="00850420" w:rsidRPr="00F3179A">
        <w:rPr>
          <w:rFonts w:ascii="Times New Roman" w:hAnsi="Times New Roman"/>
          <w:color w:val="000000" w:themeColor="text1"/>
          <w:szCs w:val="24"/>
          <w:lang w:val="ro-RO"/>
        </w:rPr>
        <w:t>aceeași</w:t>
      </w:r>
      <w:r w:rsidR="0051409B" w:rsidRPr="00F3179A">
        <w:rPr>
          <w:rFonts w:ascii="Times New Roman" w:hAnsi="Times New Roman"/>
          <w:color w:val="000000" w:themeColor="text1"/>
          <w:szCs w:val="24"/>
          <w:lang w:val="ro-RO"/>
        </w:rPr>
        <w:t xml:space="preserve"> perioadă a anului 2015,</w:t>
      </w:r>
    </w:p>
    <w:p w:rsidR="00F3179A" w:rsidRDefault="00895B4F" w:rsidP="00A11C87">
      <w:pPr>
        <w:pStyle w:val="ac"/>
        <w:numPr>
          <w:ilvl w:val="0"/>
          <w:numId w:val="22"/>
        </w:numPr>
        <w:tabs>
          <w:tab w:val="left" w:pos="142"/>
        </w:tabs>
        <w:ind w:right="-1"/>
        <w:rPr>
          <w:rFonts w:ascii="Times New Roman" w:hAnsi="Times New Roman"/>
          <w:color w:val="000000" w:themeColor="text1"/>
          <w:szCs w:val="24"/>
          <w:lang w:val="ro-RO"/>
        </w:rPr>
      </w:pPr>
      <w:r w:rsidRPr="00F3179A">
        <w:rPr>
          <w:rFonts w:ascii="Times New Roman" w:hAnsi="Times New Roman"/>
          <w:color w:val="000000" w:themeColor="text1"/>
          <w:szCs w:val="24"/>
          <w:lang w:val="ro-RO"/>
        </w:rPr>
        <w:t xml:space="preserve">casate – </w:t>
      </w:r>
      <w:r w:rsidR="0051409B" w:rsidRPr="00F3179A">
        <w:rPr>
          <w:rFonts w:ascii="Times New Roman" w:hAnsi="Times New Roman"/>
          <w:b/>
          <w:color w:val="000000" w:themeColor="text1"/>
          <w:szCs w:val="24"/>
          <w:lang w:val="ro-RO"/>
        </w:rPr>
        <w:t>14</w:t>
      </w:r>
      <w:r w:rsidR="000054F0" w:rsidRPr="00F3179A">
        <w:rPr>
          <w:rFonts w:ascii="Times New Roman" w:hAnsi="Times New Roman"/>
          <w:color w:val="000000" w:themeColor="text1"/>
          <w:szCs w:val="24"/>
          <w:lang w:val="ro-RO"/>
        </w:rPr>
        <w:t xml:space="preserve"> cauze (</w:t>
      </w:r>
      <w:r w:rsidR="00F3179A">
        <w:rPr>
          <w:rFonts w:ascii="Times New Roman" w:hAnsi="Times New Roman"/>
          <w:color w:val="000000" w:themeColor="text1"/>
          <w:szCs w:val="24"/>
          <w:lang w:val="ro-RO"/>
        </w:rPr>
        <w:t>48,28</w:t>
      </w:r>
      <w:r w:rsidR="0051409B" w:rsidRPr="00F3179A">
        <w:rPr>
          <w:rFonts w:ascii="Times New Roman" w:hAnsi="Times New Roman"/>
          <w:color w:val="000000" w:themeColor="text1"/>
          <w:szCs w:val="24"/>
          <w:lang w:val="ro-RO"/>
        </w:rPr>
        <w:t xml:space="preserve"> %), cu </w:t>
      </w:r>
      <w:r w:rsidR="0051409B" w:rsidRPr="00F3179A">
        <w:rPr>
          <w:rFonts w:ascii="Times New Roman" w:hAnsi="Times New Roman"/>
          <w:b/>
          <w:color w:val="000000" w:themeColor="text1"/>
          <w:szCs w:val="24"/>
          <w:lang w:val="ro-RO"/>
        </w:rPr>
        <w:t>14</w:t>
      </w:r>
      <w:r w:rsidR="0051409B" w:rsidRPr="00F3179A">
        <w:rPr>
          <w:rFonts w:ascii="Times New Roman" w:hAnsi="Times New Roman"/>
          <w:color w:val="000000" w:themeColor="text1"/>
          <w:szCs w:val="24"/>
          <w:lang w:val="ro-RO"/>
        </w:rPr>
        <w:t xml:space="preserve"> cauze la fel ca în </w:t>
      </w:r>
      <w:r w:rsidR="00850420" w:rsidRPr="00F3179A">
        <w:rPr>
          <w:rFonts w:ascii="Times New Roman" w:hAnsi="Times New Roman"/>
          <w:color w:val="000000" w:themeColor="text1"/>
          <w:szCs w:val="24"/>
          <w:lang w:val="ro-RO"/>
        </w:rPr>
        <w:t>aceeași</w:t>
      </w:r>
      <w:r w:rsidR="0051409B" w:rsidRPr="00F3179A">
        <w:rPr>
          <w:rFonts w:ascii="Times New Roman" w:hAnsi="Times New Roman"/>
          <w:color w:val="000000" w:themeColor="text1"/>
          <w:szCs w:val="24"/>
          <w:lang w:val="ro-RO"/>
        </w:rPr>
        <w:t xml:space="preserve"> perioadă a anului 2015</w:t>
      </w:r>
      <w:r w:rsidR="00F3179A">
        <w:rPr>
          <w:rFonts w:ascii="Times New Roman" w:hAnsi="Times New Roman"/>
          <w:color w:val="000000" w:themeColor="text1"/>
          <w:szCs w:val="24"/>
          <w:lang w:val="ro-RO"/>
        </w:rPr>
        <w:t>,</w:t>
      </w:r>
    </w:p>
    <w:p w:rsidR="0051409B" w:rsidRPr="00F3179A" w:rsidRDefault="0051409B" w:rsidP="00A11C87">
      <w:pPr>
        <w:pStyle w:val="ac"/>
        <w:numPr>
          <w:ilvl w:val="0"/>
          <w:numId w:val="22"/>
        </w:numPr>
        <w:tabs>
          <w:tab w:val="left" w:pos="142"/>
        </w:tabs>
        <w:ind w:right="-1"/>
        <w:rPr>
          <w:rFonts w:ascii="Times New Roman" w:hAnsi="Times New Roman"/>
          <w:color w:val="000000" w:themeColor="text1"/>
          <w:szCs w:val="24"/>
          <w:lang w:val="ro-RO"/>
        </w:rPr>
      </w:pPr>
      <w:r w:rsidRPr="00F3179A">
        <w:rPr>
          <w:rFonts w:ascii="Times New Roman" w:hAnsi="Times New Roman"/>
          <w:color w:val="000000" w:themeColor="text1"/>
          <w:szCs w:val="24"/>
          <w:lang w:val="ro-RO"/>
        </w:rPr>
        <w:t>modificate –</w:t>
      </w:r>
      <w:r w:rsidRPr="00F3179A">
        <w:rPr>
          <w:rFonts w:ascii="Times New Roman" w:hAnsi="Times New Roman"/>
          <w:b/>
          <w:color w:val="000000" w:themeColor="text1"/>
          <w:szCs w:val="24"/>
          <w:lang w:val="ro-RO"/>
        </w:rPr>
        <w:t xml:space="preserve"> 0</w:t>
      </w:r>
      <w:r w:rsidRPr="00F3179A">
        <w:rPr>
          <w:rFonts w:ascii="Times New Roman" w:hAnsi="Times New Roman"/>
          <w:color w:val="000000" w:themeColor="text1"/>
          <w:szCs w:val="24"/>
          <w:lang w:val="ro-RO"/>
        </w:rPr>
        <w:t xml:space="preserve"> cauze (</w:t>
      </w:r>
      <w:r w:rsidR="00F3179A">
        <w:rPr>
          <w:rFonts w:ascii="Times New Roman" w:hAnsi="Times New Roman"/>
          <w:color w:val="000000" w:themeColor="text1"/>
          <w:szCs w:val="24"/>
          <w:lang w:val="ro-RO"/>
        </w:rPr>
        <w:t xml:space="preserve">0 </w:t>
      </w:r>
      <w:r w:rsidRPr="00F3179A">
        <w:rPr>
          <w:rFonts w:ascii="Times New Roman" w:hAnsi="Times New Roman"/>
          <w:color w:val="000000" w:themeColor="text1"/>
          <w:szCs w:val="24"/>
          <w:lang w:val="ro-RO"/>
        </w:rPr>
        <w:t xml:space="preserve">%), cu </w:t>
      </w:r>
      <w:r w:rsidRPr="00F3179A">
        <w:rPr>
          <w:rFonts w:ascii="Times New Roman" w:hAnsi="Times New Roman"/>
          <w:b/>
          <w:color w:val="000000" w:themeColor="text1"/>
          <w:szCs w:val="24"/>
          <w:lang w:val="ro-RO"/>
        </w:rPr>
        <w:t xml:space="preserve">4 </w:t>
      </w:r>
      <w:r w:rsidRPr="00F3179A">
        <w:rPr>
          <w:rFonts w:ascii="Times New Roman" w:hAnsi="Times New Roman"/>
          <w:color w:val="000000" w:themeColor="text1"/>
          <w:szCs w:val="24"/>
          <w:lang w:val="ro-RO"/>
        </w:rPr>
        <w:t xml:space="preserve">cauze mai puțin ca în </w:t>
      </w:r>
      <w:r w:rsidR="00850420" w:rsidRPr="00F3179A">
        <w:rPr>
          <w:rFonts w:ascii="Times New Roman" w:hAnsi="Times New Roman"/>
          <w:color w:val="000000" w:themeColor="text1"/>
          <w:szCs w:val="24"/>
          <w:lang w:val="ro-RO"/>
        </w:rPr>
        <w:t>aceeași</w:t>
      </w:r>
      <w:r w:rsidRPr="00F3179A">
        <w:rPr>
          <w:rFonts w:ascii="Times New Roman" w:hAnsi="Times New Roman"/>
          <w:color w:val="000000" w:themeColor="text1"/>
          <w:szCs w:val="24"/>
          <w:lang w:val="ro-RO"/>
        </w:rPr>
        <w:t xml:space="preserve"> perioadă a anului 2015,</w:t>
      </w:r>
    </w:p>
    <w:p w:rsidR="007C0E8B" w:rsidRPr="00200430" w:rsidRDefault="007C0E8B" w:rsidP="0051409B">
      <w:pPr>
        <w:tabs>
          <w:tab w:val="left" w:pos="142"/>
        </w:tabs>
        <w:ind w:right="-1"/>
        <w:rPr>
          <w:color w:val="000000" w:themeColor="text1"/>
          <w:szCs w:val="24"/>
          <w:lang w:val="ro-RO"/>
        </w:rPr>
      </w:pPr>
    </w:p>
    <w:p w:rsidR="00F3179A" w:rsidRDefault="00895B4F" w:rsidP="00F3179A">
      <w:pPr>
        <w:pStyle w:val="a5"/>
        <w:tabs>
          <w:tab w:val="left" w:pos="142"/>
        </w:tabs>
        <w:ind w:right="-1"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200430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ro-RO"/>
        </w:rPr>
        <w:t xml:space="preserve">Judecătoria Taraclia </w:t>
      </w:r>
      <w:r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>– examinate –</w:t>
      </w:r>
      <w:r w:rsidRPr="0051409B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 xml:space="preserve"> </w:t>
      </w:r>
      <w:r w:rsidR="0051409B" w:rsidRPr="0051409B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>19</w:t>
      </w:r>
      <w:r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cauze, cu </w:t>
      </w:r>
      <w:r w:rsidR="0051409B">
        <w:rPr>
          <w:rFonts w:ascii="Times New Roman" w:hAnsi="Times New Roman"/>
          <w:color w:val="000000" w:themeColor="text1"/>
          <w:sz w:val="24"/>
          <w:szCs w:val="24"/>
          <w:lang w:val="ro-RO"/>
        </w:rPr>
        <w:t>13</w:t>
      </w:r>
      <w:r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cauze mai puțin ca în </w:t>
      </w:r>
      <w:r w:rsidR="00850420"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>aceeași</w:t>
      </w:r>
      <w:r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perioadă a anului 201</w:t>
      </w:r>
      <w:r w:rsidR="00B15BB2"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>5</w:t>
      </w:r>
      <w:r w:rsidR="00F3179A">
        <w:rPr>
          <w:rFonts w:ascii="Times New Roman" w:hAnsi="Times New Roman"/>
          <w:color w:val="000000" w:themeColor="text1"/>
          <w:sz w:val="24"/>
          <w:szCs w:val="24"/>
          <w:lang w:val="ro-RO"/>
        </w:rPr>
        <w:t>,</w:t>
      </w:r>
    </w:p>
    <w:p w:rsidR="00F3179A" w:rsidRDefault="00895B4F" w:rsidP="004435BE">
      <w:pPr>
        <w:pStyle w:val="a5"/>
        <w:numPr>
          <w:ilvl w:val="0"/>
          <w:numId w:val="23"/>
        </w:numPr>
        <w:tabs>
          <w:tab w:val="left" w:pos="142"/>
          <w:tab w:val="left" w:pos="567"/>
        </w:tabs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>menținute fără modificări –</w:t>
      </w:r>
      <w:r w:rsidR="0051409B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 xml:space="preserve"> 10</w:t>
      </w:r>
      <w:r w:rsidR="000054F0"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cauze (</w:t>
      </w:r>
      <w:r w:rsidR="00F3179A">
        <w:rPr>
          <w:rFonts w:ascii="Times New Roman" w:hAnsi="Times New Roman"/>
          <w:color w:val="000000" w:themeColor="text1"/>
          <w:sz w:val="24"/>
          <w:szCs w:val="24"/>
          <w:lang w:val="ro-RO"/>
        </w:rPr>
        <w:t>52,63</w:t>
      </w:r>
      <w:r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%)</w:t>
      </w:r>
      <w:r w:rsidR="0051409B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, </w:t>
      </w:r>
      <w:r w:rsidR="0051409B"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>cu</w:t>
      </w:r>
      <w:r w:rsidR="0051409B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6</w:t>
      </w:r>
      <w:r w:rsidR="0051409B"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cauze mai puțin ca în </w:t>
      </w:r>
      <w:r w:rsidR="00850420"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>aceeași</w:t>
      </w:r>
      <w:r w:rsidR="0051409B"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perioadă a anului 2015</w:t>
      </w:r>
      <w:r w:rsidR="0051409B">
        <w:rPr>
          <w:rFonts w:ascii="Times New Roman" w:hAnsi="Times New Roman"/>
          <w:color w:val="000000" w:themeColor="text1"/>
          <w:sz w:val="24"/>
          <w:szCs w:val="24"/>
          <w:lang w:val="ro-RO"/>
        </w:rPr>
        <w:t>,</w:t>
      </w:r>
    </w:p>
    <w:p w:rsidR="00F3179A" w:rsidRDefault="00895B4F" w:rsidP="00A11C87">
      <w:pPr>
        <w:pStyle w:val="a5"/>
        <w:numPr>
          <w:ilvl w:val="0"/>
          <w:numId w:val="23"/>
        </w:numPr>
        <w:tabs>
          <w:tab w:val="left" w:pos="142"/>
        </w:tabs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F3179A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casate – </w:t>
      </w:r>
      <w:r w:rsidR="0051409B" w:rsidRPr="00F3179A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>9</w:t>
      </w:r>
      <w:r w:rsidR="000054F0" w:rsidRPr="00F3179A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cauze (</w:t>
      </w:r>
      <w:r w:rsidR="00F3179A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47,37 </w:t>
      </w:r>
      <w:r w:rsidR="0051409B" w:rsidRPr="00F3179A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%), cu </w:t>
      </w:r>
      <w:r w:rsidR="0051409B" w:rsidRPr="00F3179A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 xml:space="preserve">6 </w:t>
      </w:r>
      <w:r w:rsidR="0051409B" w:rsidRPr="00F3179A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cauze mai puțin ca în </w:t>
      </w:r>
      <w:r w:rsidR="00850420" w:rsidRPr="00F3179A">
        <w:rPr>
          <w:rFonts w:ascii="Times New Roman" w:hAnsi="Times New Roman"/>
          <w:color w:val="000000" w:themeColor="text1"/>
          <w:sz w:val="24"/>
          <w:szCs w:val="24"/>
          <w:lang w:val="ro-RO"/>
        </w:rPr>
        <w:t>aceeași</w:t>
      </w:r>
      <w:r w:rsidR="0051409B" w:rsidRPr="00F3179A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perioadă a anului 2015,</w:t>
      </w:r>
    </w:p>
    <w:p w:rsidR="0051409B" w:rsidRPr="00F3179A" w:rsidRDefault="0051409B" w:rsidP="00A11C87">
      <w:pPr>
        <w:pStyle w:val="a5"/>
        <w:numPr>
          <w:ilvl w:val="0"/>
          <w:numId w:val="23"/>
        </w:numPr>
        <w:tabs>
          <w:tab w:val="left" w:pos="142"/>
        </w:tabs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F3179A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modificate – </w:t>
      </w:r>
      <w:r w:rsidRPr="00F3179A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>0</w:t>
      </w:r>
      <w:r w:rsidRPr="00F3179A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cauze (</w:t>
      </w:r>
      <w:r w:rsidR="00F3179A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0 </w:t>
      </w:r>
      <w:r w:rsidRPr="00F3179A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%), cu </w:t>
      </w:r>
      <w:r w:rsidRPr="00F3179A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 xml:space="preserve">2 </w:t>
      </w:r>
      <w:r w:rsidRPr="00F3179A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cauze mai puțin ca în </w:t>
      </w:r>
      <w:r w:rsidR="00850420" w:rsidRPr="00F3179A">
        <w:rPr>
          <w:rFonts w:ascii="Times New Roman" w:hAnsi="Times New Roman"/>
          <w:color w:val="000000" w:themeColor="text1"/>
          <w:sz w:val="24"/>
          <w:szCs w:val="24"/>
          <w:lang w:val="ro-RO"/>
        </w:rPr>
        <w:t>aceeași</w:t>
      </w:r>
      <w:r w:rsidRPr="00F3179A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perioadă a anului 2015,</w:t>
      </w:r>
    </w:p>
    <w:p w:rsidR="007C0E8B" w:rsidRPr="00200430" w:rsidRDefault="007C0E8B" w:rsidP="00895B4F">
      <w:pPr>
        <w:pStyle w:val="a5"/>
        <w:tabs>
          <w:tab w:val="left" w:pos="142"/>
        </w:tabs>
        <w:ind w:right="-1"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ro-RO"/>
        </w:rPr>
      </w:pPr>
    </w:p>
    <w:p w:rsidR="00895B4F" w:rsidRPr="00200430" w:rsidRDefault="00895B4F" w:rsidP="00895B4F">
      <w:pPr>
        <w:pStyle w:val="a5"/>
        <w:tabs>
          <w:tab w:val="left" w:pos="142"/>
        </w:tabs>
        <w:ind w:right="-1"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200430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ro-RO"/>
        </w:rPr>
        <w:t xml:space="preserve">Judecătoria Comrat </w:t>
      </w:r>
      <w:r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>– examinate –</w:t>
      </w:r>
      <w:r w:rsidR="00EE4D48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 xml:space="preserve"> 18 </w:t>
      </w:r>
      <w:r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>cauze, cu</w:t>
      </w:r>
      <w:r w:rsidR="0051409B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="00EE4D48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>2</w:t>
      </w:r>
      <w:r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cauze mai</w:t>
      </w:r>
      <w:r w:rsidR="00EE4D48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puțin</w:t>
      </w:r>
      <w:r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ca în </w:t>
      </w:r>
      <w:r w:rsidR="00850420"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>aceeași</w:t>
      </w:r>
      <w:r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perioadă a anului 201</w:t>
      </w:r>
      <w:r w:rsidR="00B15BB2"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>5</w:t>
      </w:r>
      <w:r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>,</w:t>
      </w:r>
    </w:p>
    <w:p w:rsidR="00F3179A" w:rsidRDefault="00895B4F" w:rsidP="00A11C87">
      <w:pPr>
        <w:pStyle w:val="a5"/>
        <w:numPr>
          <w:ilvl w:val="0"/>
          <w:numId w:val="24"/>
        </w:numPr>
        <w:tabs>
          <w:tab w:val="left" w:pos="142"/>
        </w:tabs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>menținute fără modificări –</w:t>
      </w:r>
      <w:r w:rsidR="00EE4D48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="00EE4D48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>9</w:t>
      </w:r>
      <w:r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cauze (</w:t>
      </w:r>
      <w:r w:rsidR="00F3179A">
        <w:rPr>
          <w:rFonts w:ascii="Times New Roman" w:hAnsi="Times New Roman"/>
          <w:color w:val="000000" w:themeColor="text1"/>
          <w:sz w:val="24"/>
          <w:szCs w:val="24"/>
          <w:lang w:val="ro-RO"/>
        </w:rPr>
        <w:t>50</w:t>
      </w:r>
      <w:r w:rsidR="000054F0"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>%),</w:t>
      </w:r>
      <w:r w:rsidR="00EE4D48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="00EE4D48"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>cu</w:t>
      </w:r>
      <w:r w:rsidR="00EE4D48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6 </w:t>
      </w:r>
      <w:r w:rsidR="00EE4D48"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>cauze mai</w:t>
      </w:r>
      <w:r w:rsidR="00EE4D48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mult</w:t>
      </w:r>
      <w:r w:rsidR="00EE4D48"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ca în </w:t>
      </w:r>
      <w:r w:rsidR="00850420"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>aceeași</w:t>
      </w:r>
      <w:r w:rsidR="00EE4D48"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perioadă a anului 2015</w:t>
      </w:r>
      <w:r w:rsidR="00EE4D48">
        <w:rPr>
          <w:rFonts w:ascii="Times New Roman" w:hAnsi="Times New Roman"/>
          <w:color w:val="000000" w:themeColor="text1"/>
          <w:sz w:val="24"/>
          <w:szCs w:val="24"/>
          <w:lang w:val="ro-RO"/>
        </w:rPr>
        <w:t>,</w:t>
      </w:r>
    </w:p>
    <w:p w:rsidR="00EE4D48" w:rsidRPr="00F3179A" w:rsidRDefault="00895B4F" w:rsidP="00A11C87">
      <w:pPr>
        <w:pStyle w:val="a5"/>
        <w:numPr>
          <w:ilvl w:val="0"/>
          <w:numId w:val="24"/>
        </w:numPr>
        <w:tabs>
          <w:tab w:val="left" w:pos="142"/>
        </w:tabs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F3179A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casate – </w:t>
      </w:r>
      <w:r w:rsidR="00EE4D48" w:rsidRPr="00F3179A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>9</w:t>
      </w:r>
      <w:r w:rsidR="000054F0" w:rsidRPr="00F3179A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cauze (</w:t>
      </w:r>
      <w:r w:rsidR="00F3179A">
        <w:rPr>
          <w:rFonts w:ascii="Times New Roman" w:hAnsi="Times New Roman"/>
          <w:color w:val="000000" w:themeColor="text1"/>
          <w:sz w:val="24"/>
          <w:szCs w:val="24"/>
          <w:lang w:val="ro-RO"/>
        </w:rPr>
        <w:t>50</w:t>
      </w:r>
      <w:r w:rsidRPr="00F3179A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%),</w:t>
      </w:r>
      <w:r w:rsidR="00EE4D48" w:rsidRPr="00F3179A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cu </w:t>
      </w:r>
      <w:r w:rsidR="00EE4D48" w:rsidRPr="00F3179A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 xml:space="preserve">4 </w:t>
      </w:r>
      <w:r w:rsidR="00EE4D48" w:rsidRPr="00F3179A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cauze mai puțin ca în </w:t>
      </w:r>
      <w:r w:rsidR="00850420" w:rsidRPr="00F3179A">
        <w:rPr>
          <w:rFonts w:ascii="Times New Roman" w:hAnsi="Times New Roman"/>
          <w:color w:val="000000" w:themeColor="text1"/>
          <w:sz w:val="24"/>
          <w:szCs w:val="24"/>
          <w:lang w:val="ro-RO"/>
        </w:rPr>
        <w:t>aceeași</w:t>
      </w:r>
      <w:r w:rsidR="00EE4D48" w:rsidRPr="00F3179A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perioadă a anului 2015.</w:t>
      </w:r>
    </w:p>
    <w:p w:rsidR="00B15BB2" w:rsidRPr="00F3179A" w:rsidRDefault="00B15BB2" w:rsidP="00F3179A">
      <w:pPr>
        <w:pStyle w:val="a5"/>
        <w:tabs>
          <w:tab w:val="left" w:pos="142"/>
        </w:tabs>
        <w:ind w:left="720" w:right="-1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</w:p>
    <w:p w:rsidR="00895B4F" w:rsidRPr="00200430" w:rsidRDefault="00895B4F" w:rsidP="00895B4F">
      <w:pPr>
        <w:pStyle w:val="a5"/>
        <w:tabs>
          <w:tab w:val="left" w:pos="142"/>
        </w:tabs>
        <w:ind w:right="-1"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200430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ro-RO"/>
        </w:rPr>
        <w:t xml:space="preserve">Judecătoria </w:t>
      </w:r>
      <w:r w:rsidR="007C0E8B" w:rsidRPr="00200430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ro-RO"/>
        </w:rPr>
        <w:t>Ce</w:t>
      </w:r>
      <w:r w:rsidRPr="00200430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ro-RO"/>
        </w:rPr>
        <w:t>ad</w:t>
      </w:r>
      <w:r w:rsidR="007C0E8B" w:rsidRPr="00200430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ro-RO"/>
        </w:rPr>
        <w:t>â</w:t>
      </w:r>
      <w:r w:rsidRPr="00200430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ro-RO"/>
        </w:rPr>
        <w:t>r-Lunga</w:t>
      </w:r>
      <w:r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– examinate – </w:t>
      </w:r>
      <w:r w:rsidR="0051409B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 xml:space="preserve">9 </w:t>
      </w:r>
      <w:r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cauze, </w:t>
      </w:r>
      <w:r w:rsidR="0051409B">
        <w:rPr>
          <w:rFonts w:ascii="Times New Roman" w:hAnsi="Times New Roman"/>
          <w:color w:val="000000" w:themeColor="text1"/>
          <w:sz w:val="24"/>
          <w:szCs w:val="24"/>
          <w:lang w:val="ro-RO"/>
        </w:rPr>
        <w:t>la fel</w:t>
      </w:r>
      <w:r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ca în </w:t>
      </w:r>
      <w:r w:rsidR="00850420"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>aceeași</w:t>
      </w:r>
      <w:r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perioadă a anului 201</w:t>
      </w:r>
      <w:r w:rsidR="00B15BB2"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>5</w:t>
      </w:r>
      <w:r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>,</w:t>
      </w:r>
    </w:p>
    <w:p w:rsidR="00F3179A" w:rsidRDefault="00895B4F" w:rsidP="00A11C87">
      <w:pPr>
        <w:pStyle w:val="a5"/>
        <w:numPr>
          <w:ilvl w:val="0"/>
          <w:numId w:val="25"/>
        </w:numPr>
        <w:tabs>
          <w:tab w:val="left" w:pos="142"/>
        </w:tabs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>menținute fără modificări –</w:t>
      </w:r>
      <w:r w:rsidR="0051409B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 xml:space="preserve"> 6</w:t>
      </w:r>
      <w:r w:rsidR="000054F0"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cauze (</w:t>
      </w:r>
      <w:r w:rsidR="00F3179A">
        <w:rPr>
          <w:rFonts w:ascii="Times New Roman" w:hAnsi="Times New Roman"/>
          <w:color w:val="000000" w:themeColor="text1"/>
          <w:sz w:val="24"/>
          <w:szCs w:val="24"/>
          <w:lang w:val="ro-RO"/>
        </w:rPr>
        <w:t>66,67</w:t>
      </w:r>
      <w:r w:rsidR="000054F0"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>%),</w:t>
      </w:r>
      <w:r w:rsidR="00EE4D48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="00EE4D48"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>cu</w:t>
      </w:r>
      <w:r w:rsidR="00EE4D48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="00EE4D48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>1</w:t>
      </w:r>
      <w:r w:rsidR="00EE4D48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cauză</w:t>
      </w:r>
      <w:r w:rsidR="00EE4D48"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mai</w:t>
      </w:r>
      <w:r w:rsidR="00EE4D48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puțin</w:t>
      </w:r>
      <w:r w:rsidR="00EE4D48"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ca în </w:t>
      </w:r>
      <w:r w:rsidR="00850420"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>aceeași</w:t>
      </w:r>
      <w:r w:rsidR="00EE4D48"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perioadă a anului 2015</w:t>
      </w:r>
      <w:r w:rsidR="00EE4D48">
        <w:rPr>
          <w:rFonts w:ascii="Times New Roman" w:hAnsi="Times New Roman"/>
          <w:color w:val="000000" w:themeColor="text1"/>
          <w:sz w:val="24"/>
          <w:szCs w:val="24"/>
          <w:lang w:val="ro-RO"/>
        </w:rPr>
        <w:t>,</w:t>
      </w:r>
    </w:p>
    <w:p w:rsidR="00895B4F" w:rsidRPr="00F3179A" w:rsidRDefault="00895B4F" w:rsidP="00A11C87">
      <w:pPr>
        <w:pStyle w:val="a5"/>
        <w:numPr>
          <w:ilvl w:val="0"/>
          <w:numId w:val="25"/>
        </w:numPr>
        <w:tabs>
          <w:tab w:val="left" w:pos="142"/>
        </w:tabs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F3179A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casate – </w:t>
      </w:r>
      <w:r w:rsidR="00EE4D48" w:rsidRPr="00F3179A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>3</w:t>
      </w:r>
      <w:r w:rsidRPr="00F3179A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cauze (</w:t>
      </w:r>
      <w:r w:rsidR="00F3179A">
        <w:rPr>
          <w:rFonts w:ascii="Times New Roman" w:hAnsi="Times New Roman"/>
          <w:color w:val="000000" w:themeColor="text1"/>
          <w:sz w:val="24"/>
          <w:szCs w:val="24"/>
          <w:lang w:val="ro-RO"/>
        </w:rPr>
        <w:t>33,33</w:t>
      </w:r>
      <w:r w:rsidR="007C0E8B" w:rsidRPr="00F3179A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%)</w:t>
      </w:r>
      <w:r w:rsidR="00EE4D48" w:rsidRPr="00F3179A">
        <w:rPr>
          <w:rFonts w:ascii="Times New Roman" w:hAnsi="Times New Roman"/>
          <w:color w:val="000000" w:themeColor="text1"/>
          <w:sz w:val="24"/>
          <w:szCs w:val="24"/>
          <w:lang w:val="ro-RO"/>
        </w:rPr>
        <w:t>, cu</w:t>
      </w:r>
      <w:r w:rsidR="00EE4D48" w:rsidRPr="00F3179A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 xml:space="preserve"> 1 </w:t>
      </w:r>
      <w:r w:rsidR="00EE4D48" w:rsidRPr="00F3179A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cauză mai mult ca în </w:t>
      </w:r>
      <w:r w:rsidR="00850420" w:rsidRPr="00F3179A">
        <w:rPr>
          <w:rFonts w:ascii="Times New Roman" w:hAnsi="Times New Roman"/>
          <w:color w:val="000000" w:themeColor="text1"/>
          <w:sz w:val="24"/>
          <w:szCs w:val="24"/>
          <w:lang w:val="ro-RO"/>
        </w:rPr>
        <w:t>aceeași</w:t>
      </w:r>
      <w:r w:rsidR="00EE4D48" w:rsidRPr="00F3179A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perioadă a anului 2015</w:t>
      </w:r>
    </w:p>
    <w:p w:rsidR="007C0E8B" w:rsidRPr="00200430" w:rsidRDefault="007C0E8B" w:rsidP="007C0E8B">
      <w:pPr>
        <w:pStyle w:val="a5"/>
        <w:tabs>
          <w:tab w:val="left" w:pos="142"/>
        </w:tabs>
        <w:ind w:left="720" w:right="-1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</w:p>
    <w:p w:rsidR="00895B4F" w:rsidRPr="00200430" w:rsidRDefault="00895B4F" w:rsidP="00895B4F">
      <w:pPr>
        <w:pStyle w:val="a5"/>
        <w:tabs>
          <w:tab w:val="left" w:pos="142"/>
        </w:tabs>
        <w:ind w:right="-1"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200430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ro-RO"/>
        </w:rPr>
        <w:t xml:space="preserve">Judecătoria Vulcănești </w:t>
      </w:r>
      <w:r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>– examinate –</w:t>
      </w:r>
      <w:r w:rsidR="00EE4D48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="00EE4D48" w:rsidRPr="00EE4D48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>1</w:t>
      </w:r>
      <w:r w:rsidR="00B15BB2" w:rsidRPr="00EE4D48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 xml:space="preserve"> </w:t>
      </w:r>
      <w:r w:rsidR="00EE4D48">
        <w:rPr>
          <w:rFonts w:ascii="Times New Roman" w:hAnsi="Times New Roman"/>
          <w:color w:val="000000" w:themeColor="text1"/>
          <w:sz w:val="24"/>
          <w:szCs w:val="24"/>
          <w:lang w:val="ro-RO"/>
        </w:rPr>
        <w:t>cauză</w:t>
      </w:r>
      <w:r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>, cu</w:t>
      </w:r>
      <w:r w:rsidR="00EE4D48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 xml:space="preserve"> 3 </w:t>
      </w:r>
      <w:r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>cauze mai puțin ca î</w:t>
      </w:r>
      <w:r w:rsidR="00EE4D48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n </w:t>
      </w:r>
      <w:r w:rsidR="00850420">
        <w:rPr>
          <w:rFonts w:ascii="Times New Roman" w:hAnsi="Times New Roman"/>
          <w:color w:val="000000" w:themeColor="text1"/>
          <w:sz w:val="24"/>
          <w:szCs w:val="24"/>
          <w:lang w:val="ro-RO"/>
        </w:rPr>
        <w:t>aceeași</w:t>
      </w:r>
      <w:r w:rsidR="00EE4D48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perioadă a anului 2015</w:t>
      </w:r>
      <w:r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>,</w:t>
      </w:r>
    </w:p>
    <w:p w:rsidR="00F3179A" w:rsidRDefault="00895B4F" w:rsidP="00A11C87">
      <w:pPr>
        <w:pStyle w:val="a5"/>
        <w:numPr>
          <w:ilvl w:val="0"/>
          <w:numId w:val="26"/>
        </w:numPr>
        <w:tabs>
          <w:tab w:val="left" w:pos="142"/>
        </w:tabs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>menținute fără modificări –</w:t>
      </w:r>
      <w:r w:rsidR="00B15BB2" w:rsidRPr="00200430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>0</w:t>
      </w:r>
      <w:r w:rsidR="000054F0"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cauze</w:t>
      </w:r>
      <w:r w:rsidR="00F3179A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(0 %)</w:t>
      </w:r>
      <w:r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>,</w:t>
      </w:r>
      <w:r w:rsidR="00EE4D48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="00EE4D48"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>cu</w:t>
      </w:r>
      <w:r w:rsidR="00EE4D48" w:rsidRPr="00EE4D48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 xml:space="preserve"> </w:t>
      </w:r>
      <w:r w:rsidR="00EE4D48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>3</w:t>
      </w:r>
      <w:r w:rsidR="00EE4D48" w:rsidRPr="00EE4D48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 xml:space="preserve"> </w:t>
      </w:r>
      <w:r w:rsidR="00EE4D48">
        <w:rPr>
          <w:rFonts w:ascii="Times New Roman" w:hAnsi="Times New Roman"/>
          <w:color w:val="000000" w:themeColor="text1"/>
          <w:sz w:val="24"/>
          <w:szCs w:val="24"/>
          <w:lang w:val="ro-RO"/>
        </w:rPr>
        <w:t>cauze</w:t>
      </w:r>
      <w:r w:rsidR="00EE4D48"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mai </w:t>
      </w:r>
      <w:r w:rsidR="00EE4D48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puțin </w:t>
      </w:r>
      <w:r w:rsidR="00EE4D48"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ca în </w:t>
      </w:r>
      <w:r w:rsidR="00850420"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>aceeași</w:t>
      </w:r>
      <w:r w:rsidR="00EE4D48"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perioadă a anului 2015</w:t>
      </w:r>
      <w:r w:rsidR="00EE4D48">
        <w:rPr>
          <w:rFonts w:ascii="Times New Roman" w:hAnsi="Times New Roman"/>
          <w:color w:val="000000" w:themeColor="text1"/>
          <w:sz w:val="24"/>
          <w:szCs w:val="24"/>
          <w:lang w:val="ro-RO"/>
        </w:rPr>
        <w:t>,</w:t>
      </w:r>
    </w:p>
    <w:p w:rsidR="00EE4D48" w:rsidRDefault="00895B4F" w:rsidP="00A11C87">
      <w:pPr>
        <w:pStyle w:val="a5"/>
        <w:numPr>
          <w:ilvl w:val="0"/>
          <w:numId w:val="26"/>
        </w:numPr>
        <w:tabs>
          <w:tab w:val="left" w:pos="142"/>
        </w:tabs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F3179A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casate – </w:t>
      </w:r>
      <w:r w:rsidR="00EE4D48" w:rsidRPr="00F3179A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>1</w:t>
      </w:r>
      <w:r w:rsidR="00EE4D48" w:rsidRPr="00F3179A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cauză</w:t>
      </w:r>
      <w:r w:rsidR="00F3179A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(100 %)</w:t>
      </w:r>
      <w:r w:rsidR="00EE4D48" w:rsidRPr="00F3179A">
        <w:rPr>
          <w:rFonts w:ascii="Times New Roman" w:hAnsi="Times New Roman"/>
          <w:color w:val="000000" w:themeColor="text1"/>
          <w:sz w:val="24"/>
          <w:szCs w:val="24"/>
          <w:lang w:val="ro-RO"/>
        </w:rPr>
        <w:t>, la fel ca în</w:t>
      </w:r>
      <w:r w:rsidR="00C31491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="00850420">
        <w:rPr>
          <w:rFonts w:ascii="Times New Roman" w:hAnsi="Times New Roman"/>
          <w:color w:val="000000" w:themeColor="text1"/>
          <w:sz w:val="24"/>
          <w:szCs w:val="24"/>
          <w:lang w:val="ro-RO"/>
        </w:rPr>
        <w:t>aceeași</w:t>
      </w:r>
      <w:r w:rsidR="00C31491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perioadă a anului 2015.</w:t>
      </w:r>
    </w:p>
    <w:p w:rsidR="00C31491" w:rsidRDefault="00C31491" w:rsidP="00C31491">
      <w:pPr>
        <w:pStyle w:val="a5"/>
        <w:tabs>
          <w:tab w:val="left" w:pos="142"/>
        </w:tabs>
        <w:ind w:left="720" w:right="-1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</w:p>
    <w:p w:rsidR="00895B4F" w:rsidRPr="00200430" w:rsidRDefault="00895B4F" w:rsidP="004435BE">
      <w:pPr>
        <w:pStyle w:val="a5"/>
        <w:numPr>
          <w:ilvl w:val="0"/>
          <w:numId w:val="34"/>
        </w:numPr>
        <w:tabs>
          <w:tab w:val="left" w:pos="142"/>
        </w:tabs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</w:pPr>
      <w:r w:rsidRPr="00200430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>Examinarea cauzelor civile în ordine de recurs</w:t>
      </w:r>
    </w:p>
    <w:p w:rsidR="00895B4F" w:rsidRPr="00200430" w:rsidRDefault="00895B4F" w:rsidP="00895B4F">
      <w:pPr>
        <w:pStyle w:val="a5"/>
        <w:tabs>
          <w:tab w:val="left" w:pos="142"/>
        </w:tabs>
        <w:ind w:right="-1" w:firstLine="567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</w:pPr>
      <w:r w:rsidRPr="00200430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>(2r,3r,2r</w:t>
      </w:r>
      <w:r w:rsidR="002F20CF" w:rsidRPr="00200430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>c</w:t>
      </w:r>
      <w:r w:rsidRPr="00200430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>,2rh,</w:t>
      </w:r>
      <w:r w:rsidR="00AA44EA" w:rsidRPr="00200430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>3rh</w:t>
      </w:r>
      <w:r w:rsidRPr="00200430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>)</w:t>
      </w:r>
    </w:p>
    <w:p w:rsidR="00B15BB2" w:rsidRPr="00200430" w:rsidRDefault="00B15BB2" w:rsidP="000F485F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</w:p>
    <w:p w:rsidR="00B15BB2" w:rsidRPr="00200430" w:rsidRDefault="005F0920" w:rsidP="004435BE">
      <w:pPr>
        <w:rPr>
          <w:lang w:val="ro-RO"/>
        </w:rPr>
      </w:pPr>
      <w:r w:rsidRPr="00200430">
        <w:rPr>
          <w:lang w:val="ro-RO"/>
        </w:rPr>
        <w:t>Pe parcursul perioadei 6</w:t>
      </w:r>
      <w:r w:rsidR="00B15BB2" w:rsidRPr="00200430">
        <w:rPr>
          <w:lang w:val="ro-RO"/>
        </w:rPr>
        <w:t xml:space="preserve"> luni a anului 2016 spre examinare la Curtea de Apel Cahul s-au aflat în procedură în total </w:t>
      </w:r>
      <w:r w:rsidR="00EE4D48">
        <w:rPr>
          <w:b/>
          <w:lang w:val="ro-RO"/>
        </w:rPr>
        <w:t>110</w:t>
      </w:r>
      <w:r w:rsidR="00B15BB2" w:rsidRPr="00200430">
        <w:rPr>
          <w:b/>
          <w:lang w:val="ro-RO"/>
        </w:rPr>
        <w:t xml:space="preserve"> cauze</w:t>
      </w:r>
      <w:r w:rsidR="00B15BB2" w:rsidRPr="00200430">
        <w:rPr>
          <w:lang w:val="ro-RO"/>
        </w:rPr>
        <w:t xml:space="preserve"> civile  în ordine de recurs, dintre care (</w:t>
      </w:r>
      <w:r w:rsidR="00B15BB2" w:rsidRPr="00200430">
        <w:rPr>
          <w:i/>
          <w:lang w:val="ro-RO"/>
        </w:rPr>
        <w:t>cauze civile în ordine de recurs -</w:t>
      </w:r>
      <w:r w:rsidR="00EE4D48">
        <w:rPr>
          <w:i/>
          <w:lang w:val="ro-RO"/>
        </w:rPr>
        <w:lastRenderedPageBreak/>
        <w:t>70</w:t>
      </w:r>
      <w:r w:rsidR="00B15BB2" w:rsidRPr="00200430">
        <w:rPr>
          <w:i/>
          <w:lang w:val="ro-RO"/>
        </w:rPr>
        <w:t>, cauze de contencios administrativ în ordine de recurs –</w:t>
      </w:r>
      <w:r w:rsidR="00EE4D48">
        <w:rPr>
          <w:i/>
          <w:lang w:val="ro-RO"/>
        </w:rPr>
        <w:t>19</w:t>
      </w:r>
      <w:r w:rsidR="00B15BB2" w:rsidRPr="00200430">
        <w:rPr>
          <w:i/>
          <w:lang w:val="ro-RO"/>
        </w:rPr>
        <w:t>, cauze</w:t>
      </w:r>
      <w:r w:rsidR="00EE4D48">
        <w:rPr>
          <w:i/>
          <w:lang w:val="ro-RO"/>
        </w:rPr>
        <w:t xml:space="preserve"> economice în ordine de recurs-11</w:t>
      </w:r>
      <w:r w:rsidR="00B15BB2" w:rsidRPr="00200430">
        <w:rPr>
          <w:i/>
          <w:lang w:val="ro-RO"/>
        </w:rPr>
        <w:t>, revizuirea hotărîrilor pe cauze economice -</w:t>
      </w:r>
      <w:r w:rsidR="00EE4D48">
        <w:rPr>
          <w:i/>
          <w:lang w:val="ro-RO"/>
        </w:rPr>
        <w:t>0</w:t>
      </w:r>
      <w:r w:rsidR="00B15BB2" w:rsidRPr="00200430">
        <w:rPr>
          <w:i/>
          <w:lang w:val="ro-RO"/>
        </w:rPr>
        <w:t>, revizuirea pe cauzele civile-</w:t>
      </w:r>
      <w:r w:rsidR="00EE4D48">
        <w:rPr>
          <w:i/>
          <w:lang w:val="ro-RO"/>
        </w:rPr>
        <w:t>8</w:t>
      </w:r>
      <w:r w:rsidR="00B15BB2" w:rsidRPr="00200430">
        <w:rPr>
          <w:i/>
          <w:lang w:val="ro-RO"/>
        </w:rPr>
        <w:t>, revizuirea hot</w:t>
      </w:r>
      <w:r w:rsidR="00850420">
        <w:rPr>
          <w:i/>
          <w:lang w:val="ro-RO"/>
        </w:rPr>
        <w:t>ă</w:t>
      </w:r>
      <w:r w:rsidR="00B15BB2" w:rsidRPr="00200430">
        <w:rPr>
          <w:i/>
          <w:lang w:val="ro-RO"/>
        </w:rPr>
        <w:t xml:space="preserve">rîrilor în contencios administrativ – </w:t>
      </w:r>
      <w:r w:rsidR="000F485F" w:rsidRPr="00200430">
        <w:rPr>
          <w:i/>
          <w:lang w:val="ro-RO"/>
        </w:rPr>
        <w:t>2</w:t>
      </w:r>
      <w:r w:rsidR="00B15BB2" w:rsidRPr="00200430">
        <w:rPr>
          <w:i/>
          <w:lang w:val="ro-RO"/>
        </w:rPr>
        <w:t xml:space="preserve">, cauze privind </w:t>
      </w:r>
      <w:r w:rsidR="00850420" w:rsidRPr="00200430">
        <w:rPr>
          <w:i/>
          <w:lang w:val="ro-RO"/>
        </w:rPr>
        <w:t>recunoașterea</w:t>
      </w:r>
      <w:r w:rsidR="00B15BB2" w:rsidRPr="00200430">
        <w:rPr>
          <w:i/>
          <w:lang w:val="ro-RO"/>
        </w:rPr>
        <w:t xml:space="preserve"> </w:t>
      </w:r>
      <w:r w:rsidR="00850420" w:rsidRPr="00200430">
        <w:rPr>
          <w:i/>
          <w:lang w:val="ro-RO"/>
        </w:rPr>
        <w:t>și</w:t>
      </w:r>
      <w:r w:rsidR="00B15BB2" w:rsidRPr="00200430">
        <w:rPr>
          <w:i/>
          <w:lang w:val="ro-RO"/>
        </w:rPr>
        <w:t xml:space="preserve"> executarea hotărîrilor </w:t>
      </w:r>
      <w:r w:rsidR="00850420" w:rsidRPr="00200430">
        <w:rPr>
          <w:i/>
          <w:lang w:val="ro-RO"/>
        </w:rPr>
        <w:t>judecătorești</w:t>
      </w:r>
      <w:r w:rsidR="00B15BB2" w:rsidRPr="00200430">
        <w:rPr>
          <w:i/>
          <w:lang w:val="ro-RO"/>
        </w:rPr>
        <w:t xml:space="preserve"> străine pe cauze civile-</w:t>
      </w:r>
      <w:r w:rsidR="000F485F" w:rsidRPr="00200430">
        <w:rPr>
          <w:i/>
          <w:lang w:val="ro-RO"/>
        </w:rPr>
        <w:t>0</w:t>
      </w:r>
      <w:r w:rsidR="00B15BB2" w:rsidRPr="00200430">
        <w:rPr>
          <w:lang w:val="ro-RO"/>
        </w:rPr>
        <w:t xml:space="preserve">) </w:t>
      </w:r>
    </w:p>
    <w:p w:rsidR="00B15BB2" w:rsidRPr="00200430" w:rsidRDefault="00B15BB2" w:rsidP="004435BE">
      <w:pPr>
        <w:rPr>
          <w:lang w:val="ro-RO"/>
        </w:rPr>
      </w:pPr>
      <w:r w:rsidRPr="00200430">
        <w:rPr>
          <w:b/>
          <w:lang w:val="ro-RO"/>
        </w:rPr>
        <w:t>1</w:t>
      </w:r>
      <w:r w:rsidR="000F485F" w:rsidRPr="00200430">
        <w:rPr>
          <w:b/>
          <w:lang w:val="ro-RO"/>
        </w:rPr>
        <w:t>7</w:t>
      </w:r>
      <w:r w:rsidRPr="00200430">
        <w:rPr>
          <w:b/>
          <w:lang w:val="ro-RO"/>
        </w:rPr>
        <w:t xml:space="preserve"> cauze</w:t>
      </w:r>
      <w:r w:rsidRPr="00200430">
        <w:rPr>
          <w:lang w:val="ro-RO"/>
        </w:rPr>
        <w:t xml:space="preserve"> pendinte la începutul perioadei raportate,</w:t>
      </w:r>
      <w:r w:rsidR="00277A91">
        <w:rPr>
          <w:lang w:val="ro-RO"/>
        </w:rPr>
        <w:t xml:space="preserve"> </w:t>
      </w:r>
      <w:r w:rsidR="00EE4D48">
        <w:rPr>
          <w:b/>
          <w:lang w:val="ro-RO"/>
        </w:rPr>
        <w:t xml:space="preserve">93 </w:t>
      </w:r>
      <w:r w:rsidRPr="00200430">
        <w:rPr>
          <w:b/>
          <w:lang w:val="ro-RO"/>
        </w:rPr>
        <w:t>cauze</w:t>
      </w:r>
      <w:r w:rsidRPr="00200430">
        <w:rPr>
          <w:lang w:val="ro-RO"/>
        </w:rPr>
        <w:t xml:space="preserve">  noi înregistrate</w:t>
      </w:r>
      <w:r w:rsidR="00277A91">
        <w:rPr>
          <w:lang w:val="ro-RO"/>
        </w:rPr>
        <w:t xml:space="preserve">. </w:t>
      </w:r>
    </w:p>
    <w:p w:rsidR="00B15BB2" w:rsidRPr="00200430" w:rsidRDefault="00B15BB2" w:rsidP="004435BE">
      <w:pPr>
        <w:rPr>
          <w:lang w:val="ro-RO"/>
        </w:rPr>
      </w:pPr>
      <w:r w:rsidRPr="00200430">
        <w:rPr>
          <w:lang w:val="ro-RO"/>
        </w:rPr>
        <w:t>Din totalul dosarelor aflate în procedură au fost  soluționate</w:t>
      </w:r>
      <w:r w:rsidR="00D33A74">
        <w:rPr>
          <w:lang w:val="ro-RO"/>
        </w:rPr>
        <w:t xml:space="preserve"> </w:t>
      </w:r>
      <w:r w:rsidRPr="00200430">
        <w:rPr>
          <w:lang w:val="ro-RO"/>
        </w:rPr>
        <w:t>–</w:t>
      </w:r>
      <w:r w:rsidR="00D33A74">
        <w:rPr>
          <w:lang w:val="ro-RO"/>
        </w:rPr>
        <w:t xml:space="preserve"> </w:t>
      </w:r>
      <w:r w:rsidR="00277A91">
        <w:rPr>
          <w:b/>
          <w:lang w:val="ro-RO"/>
        </w:rPr>
        <w:t>93 dosare</w:t>
      </w:r>
      <w:r w:rsidR="00277A91" w:rsidRPr="00200430">
        <w:rPr>
          <w:lang w:val="ro-RO"/>
        </w:rPr>
        <w:t xml:space="preserve">, </w:t>
      </w:r>
      <w:r w:rsidR="00277A91" w:rsidRPr="00200430">
        <w:rPr>
          <w:i/>
          <w:lang w:val="ro-RO"/>
        </w:rPr>
        <w:t xml:space="preserve">din care fără soluționare în fond </w:t>
      </w:r>
      <w:r w:rsidR="00277A91">
        <w:rPr>
          <w:i/>
          <w:lang w:val="ro-RO"/>
        </w:rPr>
        <w:t>4 cauze, strămutate la CSJ - 5</w:t>
      </w:r>
      <w:r w:rsidR="00277A91" w:rsidRPr="00200430">
        <w:rPr>
          <w:i/>
          <w:lang w:val="ro-RO"/>
        </w:rPr>
        <w:t xml:space="preserve"> cauze</w:t>
      </w:r>
      <w:r w:rsidR="00277A91">
        <w:rPr>
          <w:i/>
          <w:lang w:val="ro-RO"/>
        </w:rPr>
        <w:t>.</w:t>
      </w:r>
    </w:p>
    <w:p w:rsidR="00B15BB2" w:rsidRPr="00200430" w:rsidRDefault="00B15BB2" w:rsidP="004435BE">
      <w:pPr>
        <w:rPr>
          <w:lang w:val="ro-RO"/>
        </w:rPr>
      </w:pPr>
      <w:r w:rsidRPr="00200430">
        <w:rPr>
          <w:lang w:val="ro-RO"/>
        </w:rPr>
        <w:t xml:space="preserve">Numărul dosarelor pendinte la sfîrșitul perioadei raportate constituie </w:t>
      </w:r>
      <w:r w:rsidR="00703B0A">
        <w:rPr>
          <w:b/>
          <w:lang w:val="ro-RO"/>
        </w:rPr>
        <w:t>17</w:t>
      </w:r>
      <w:r w:rsidRPr="00200430">
        <w:rPr>
          <w:b/>
          <w:lang w:val="ro-RO"/>
        </w:rPr>
        <w:t xml:space="preserve"> dosare.</w:t>
      </w:r>
    </w:p>
    <w:p w:rsidR="00B15BB2" w:rsidRPr="00200430" w:rsidRDefault="00B15BB2" w:rsidP="004435BE">
      <w:pPr>
        <w:rPr>
          <w:lang w:val="ro-RO"/>
        </w:rPr>
      </w:pPr>
      <w:r w:rsidRPr="00200430">
        <w:rPr>
          <w:lang w:val="ro-RO"/>
        </w:rPr>
        <w:t xml:space="preserve">Rata de variație a stocului de cauze (raportul dintre cauzele noi înregistrate și cele pendinte la începutul perioadei raportate) constituie </w:t>
      </w:r>
      <w:r w:rsidR="00703B0A" w:rsidRPr="00703B0A">
        <w:rPr>
          <w:b/>
          <w:lang w:val="ro-RO"/>
        </w:rPr>
        <w:t>100,00%</w:t>
      </w:r>
      <w:r w:rsidR="00703B0A">
        <w:rPr>
          <w:b/>
          <w:lang w:val="ro-RO"/>
        </w:rPr>
        <w:t>.</w:t>
      </w:r>
    </w:p>
    <w:p w:rsidR="00B15BB2" w:rsidRPr="00200430" w:rsidRDefault="00B15BB2" w:rsidP="004435BE">
      <w:pPr>
        <w:rPr>
          <w:b/>
          <w:lang w:val="ro-RO"/>
        </w:rPr>
      </w:pPr>
      <w:r w:rsidRPr="00200430">
        <w:rPr>
          <w:lang w:val="ro-RO"/>
        </w:rPr>
        <w:t xml:space="preserve">Numărul de cauze penale examinate de un judecător în mediu  constituie </w:t>
      </w:r>
      <w:r w:rsidR="00703B0A">
        <w:rPr>
          <w:b/>
          <w:lang w:val="ro-RO"/>
        </w:rPr>
        <w:t xml:space="preserve">2 </w:t>
      </w:r>
      <w:r w:rsidRPr="00200430">
        <w:rPr>
          <w:b/>
          <w:lang w:val="ro-RO"/>
        </w:rPr>
        <w:t>dosare.</w:t>
      </w:r>
    </w:p>
    <w:p w:rsidR="00B15BB2" w:rsidRPr="00200430" w:rsidRDefault="00B15BB2" w:rsidP="004435BE">
      <w:pPr>
        <w:rPr>
          <w:lang w:val="ro-RO"/>
        </w:rPr>
      </w:pPr>
    </w:p>
    <w:p w:rsidR="00B15BB2" w:rsidRPr="00200430" w:rsidRDefault="00B15BB2" w:rsidP="004435BE">
      <w:pPr>
        <w:rPr>
          <w:lang w:val="ro-RO"/>
        </w:rPr>
      </w:pPr>
      <w:r w:rsidRPr="00200430">
        <w:rPr>
          <w:lang w:val="ro-RO"/>
        </w:rPr>
        <w:t xml:space="preserve">În anul 2016 comparativ cu aceeași perioadă a anului 2015 numărul dosarelor pendinte la începutul perioadei raportate a înregistrat  o creștere cu </w:t>
      </w:r>
      <w:r w:rsidR="000F485F" w:rsidRPr="00200430">
        <w:rPr>
          <w:lang w:val="ro-RO"/>
        </w:rPr>
        <w:t>4</w:t>
      </w:r>
      <w:r w:rsidRPr="00200430">
        <w:rPr>
          <w:lang w:val="ro-RO"/>
        </w:rPr>
        <w:t xml:space="preserve"> dosare.</w:t>
      </w:r>
    </w:p>
    <w:p w:rsidR="00B15BB2" w:rsidRPr="00200430" w:rsidRDefault="00B15BB2" w:rsidP="004435BE">
      <w:pPr>
        <w:rPr>
          <w:lang w:val="ro-RO"/>
        </w:rPr>
      </w:pPr>
      <w:r w:rsidRPr="00200430">
        <w:rPr>
          <w:lang w:val="ro-RO"/>
        </w:rPr>
        <w:t>Dosarele noi înregistrate dimpotri</w:t>
      </w:r>
      <w:r w:rsidR="00703B0A">
        <w:rPr>
          <w:lang w:val="ro-RO"/>
        </w:rPr>
        <w:t>vă au înregistrat o scădere cu 7</w:t>
      </w:r>
      <w:r w:rsidRPr="00200430">
        <w:rPr>
          <w:lang w:val="ro-RO"/>
        </w:rPr>
        <w:t xml:space="preserve"> cauze. </w:t>
      </w:r>
    </w:p>
    <w:p w:rsidR="00B15BB2" w:rsidRPr="00200430" w:rsidRDefault="00B15BB2" w:rsidP="004435BE">
      <w:pPr>
        <w:rPr>
          <w:bCs/>
          <w:szCs w:val="28"/>
          <w:lang w:val="ro-RO"/>
        </w:rPr>
      </w:pPr>
      <w:r w:rsidRPr="00200430">
        <w:rPr>
          <w:lang w:val="ro-RO"/>
        </w:rPr>
        <w:t xml:space="preserve">Cauze soluționate ne indică o creștere cu  </w:t>
      </w:r>
      <w:r w:rsidR="00703B0A">
        <w:rPr>
          <w:lang w:val="ro-RO"/>
        </w:rPr>
        <w:t>1</w:t>
      </w:r>
      <w:r w:rsidR="000F485F" w:rsidRPr="00200430">
        <w:rPr>
          <w:lang w:val="ro-RO"/>
        </w:rPr>
        <w:t>4</w:t>
      </w:r>
      <w:r w:rsidRPr="00200430">
        <w:rPr>
          <w:lang w:val="ro-RO"/>
        </w:rPr>
        <w:t xml:space="preserve"> dosare, iar  cele pendinte o scădere cu  </w:t>
      </w:r>
      <w:r w:rsidR="00703B0A">
        <w:rPr>
          <w:lang w:val="ro-RO"/>
        </w:rPr>
        <w:t>17</w:t>
      </w:r>
      <w:r w:rsidRPr="00200430">
        <w:rPr>
          <w:lang w:val="ro-RO"/>
        </w:rPr>
        <w:t xml:space="preserve"> dosare. </w:t>
      </w:r>
    </w:p>
    <w:p w:rsidR="006B7BC6" w:rsidRPr="00200430" w:rsidRDefault="006B7BC6" w:rsidP="006B7BC6">
      <w:pPr>
        <w:pStyle w:val="a5"/>
        <w:ind w:firstLine="720"/>
        <w:jc w:val="center"/>
        <w:rPr>
          <w:rFonts w:ascii="Times New Roman" w:hAnsi="Times New Roman"/>
          <w:i/>
          <w:color w:val="000000" w:themeColor="text1"/>
          <w:sz w:val="24"/>
          <w:szCs w:val="24"/>
          <w:lang w:val="ro-RO"/>
        </w:rPr>
      </w:pPr>
    </w:p>
    <w:p w:rsidR="00B15BB2" w:rsidRDefault="00B15BB2" w:rsidP="006B7BC6">
      <w:pPr>
        <w:pStyle w:val="a5"/>
        <w:ind w:firstLine="720"/>
        <w:jc w:val="center"/>
        <w:rPr>
          <w:rFonts w:ascii="Times New Roman" w:hAnsi="Times New Roman"/>
          <w:i/>
          <w:color w:val="000000" w:themeColor="text1"/>
          <w:sz w:val="24"/>
          <w:szCs w:val="24"/>
          <w:lang w:val="ro-RO"/>
        </w:rPr>
      </w:pPr>
      <w:r w:rsidRPr="00200430">
        <w:rPr>
          <w:rFonts w:ascii="Times New Roman" w:hAnsi="Times New Roman"/>
          <w:i/>
          <w:color w:val="000000" w:themeColor="text1"/>
          <w:sz w:val="24"/>
          <w:szCs w:val="24"/>
          <w:lang w:val="ro-RO"/>
        </w:rPr>
        <w:t>Analiza activității comparative în diagramă</w:t>
      </w:r>
    </w:p>
    <w:p w:rsidR="00703B0A" w:rsidRDefault="00703B0A" w:rsidP="006B7BC6">
      <w:pPr>
        <w:pStyle w:val="a5"/>
        <w:ind w:firstLine="720"/>
        <w:jc w:val="center"/>
        <w:rPr>
          <w:rFonts w:ascii="Times New Roman" w:hAnsi="Times New Roman"/>
          <w:i/>
          <w:color w:val="000000" w:themeColor="text1"/>
          <w:sz w:val="24"/>
          <w:szCs w:val="24"/>
          <w:lang w:val="ro-RO"/>
        </w:rPr>
      </w:pPr>
      <w:r>
        <w:rPr>
          <w:noProof/>
          <w:lang w:val="ro-RO" w:eastAsia="ro-RO"/>
        </w:rPr>
        <w:drawing>
          <wp:inline distT="0" distB="0" distL="0" distR="0" wp14:anchorId="509DA2A4" wp14:editId="4EC8DB55">
            <wp:extent cx="4963583" cy="3206750"/>
            <wp:effectExtent l="0" t="0" r="8890" b="1270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8C7FD2" w:rsidRDefault="008C7FD2" w:rsidP="00704F0D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i/>
          <w:color w:val="000000" w:themeColor="text1"/>
          <w:sz w:val="24"/>
          <w:szCs w:val="24"/>
          <w:lang w:val="ro-RO"/>
        </w:rPr>
      </w:pPr>
    </w:p>
    <w:p w:rsidR="00895B4F" w:rsidRDefault="00895B4F" w:rsidP="00895B4F">
      <w:pPr>
        <w:pStyle w:val="a5"/>
        <w:tabs>
          <w:tab w:val="left" w:pos="142"/>
        </w:tabs>
        <w:ind w:right="-1"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ab/>
        <w:t xml:space="preserve">În Judecătoriile din </w:t>
      </w:r>
      <w:r w:rsidR="00850420"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>circumscripția</w:t>
      </w:r>
      <w:r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="00850420"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>Curții</w:t>
      </w:r>
      <w:r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de Apel Cahul și alte instanțe procentul de casare a hotărîrilor atacate cu</w:t>
      </w:r>
      <w:r w:rsidR="004435BE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cereri de apel este următorul:</w:t>
      </w:r>
    </w:p>
    <w:p w:rsidR="004435BE" w:rsidRPr="00200430" w:rsidRDefault="004435BE" w:rsidP="00895B4F">
      <w:pPr>
        <w:pStyle w:val="a5"/>
        <w:tabs>
          <w:tab w:val="left" w:pos="142"/>
        </w:tabs>
        <w:ind w:right="-1"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</w:p>
    <w:p w:rsidR="00F3179A" w:rsidRDefault="00895B4F" w:rsidP="00F3179A">
      <w:pPr>
        <w:pStyle w:val="a5"/>
        <w:tabs>
          <w:tab w:val="left" w:pos="142"/>
        </w:tabs>
        <w:ind w:right="-1"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200430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ro-RO"/>
        </w:rPr>
        <w:t>Judecătoria Cahul</w:t>
      </w:r>
      <w:r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– examinate – </w:t>
      </w:r>
      <w:r w:rsidR="00703B0A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>38</w:t>
      </w:r>
      <w:r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cauze</w:t>
      </w:r>
      <w:r w:rsidR="00703B0A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, </w:t>
      </w:r>
      <w:r w:rsidR="00D33A74">
        <w:rPr>
          <w:rFonts w:ascii="Times New Roman" w:hAnsi="Times New Roman"/>
          <w:color w:val="000000" w:themeColor="text1"/>
          <w:sz w:val="24"/>
          <w:szCs w:val="24"/>
          <w:lang w:val="ro-RO"/>
        </w:rPr>
        <w:t>cu 3 cauze</w:t>
      </w:r>
      <w:r w:rsidR="00703B0A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mai </w:t>
      </w:r>
      <w:r w:rsidR="00D33A74">
        <w:rPr>
          <w:rFonts w:ascii="Times New Roman" w:hAnsi="Times New Roman"/>
          <w:color w:val="000000" w:themeColor="text1"/>
          <w:sz w:val="24"/>
          <w:szCs w:val="24"/>
          <w:lang w:val="ro-RO"/>
        </w:rPr>
        <w:t>puțin</w:t>
      </w:r>
      <w:r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ca în </w:t>
      </w:r>
      <w:r w:rsidR="00850420"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>aceeași</w:t>
      </w:r>
      <w:r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perioadă a anului 201</w:t>
      </w:r>
      <w:r w:rsidR="005F6BB0"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>5</w:t>
      </w:r>
      <w:r w:rsidR="00F3179A">
        <w:rPr>
          <w:rFonts w:ascii="Times New Roman" w:hAnsi="Times New Roman"/>
          <w:color w:val="000000" w:themeColor="text1"/>
          <w:sz w:val="24"/>
          <w:szCs w:val="24"/>
          <w:lang w:val="ro-RO"/>
        </w:rPr>
        <w:t>.</w:t>
      </w:r>
    </w:p>
    <w:p w:rsidR="00F3179A" w:rsidRDefault="00895B4F" w:rsidP="00A11C87">
      <w:pPr>
        <w:pStyle w:val="a5"/>
        <w:numPr>
          <w:ilvl w:val="0"/>
          <w:numId w:val="27"/>
        </w:numPr>
        <w:tabs>
          <w:tab w:val="left" w:pos="142"/>
        </w:tabs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menținute fără modificări – </w:t>
      </w:r>
      <w:r w:rsidR="00703B0A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>20</w:t>
      </w:r>
      <w:r w:rsidR="00703B0A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cauze (</w:t>
      </w:r>
      <w:r w:rsidR="005A3EA8">
        <w:rPr>
          <w:rFonts w:ascii="Times New Roman" w:hAnsi="Times New Roman"/>
          <w:color w:val="000000" w:themeColor="text1"/>
          <w:sz w:val="24"/>
          <w:szCs w:val="24"/>
          <w:lang w:val="ro-RO"/>
        </w:rPr>
        <w:t>52,63</w:t>
      </w:r>
      <w:r w:rsidR="00703B0A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%), </w:t>
      </w:r>
      <w:r w:rsidR="00703B0A"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cu </w:t>
      </w:r>
      <w:r w:rsidR="00703B0A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>2</w:t>
      </w:r>
      <w:r w:rsidR="00703B0A"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cauză mai </w:t>
      </w:r>
      <w:r w:rsidR="00703B0A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mult </w:t>
      </w:r>
      <w:r w:rsidR="00703B0A"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ca în </w:t>
      </w:r>
      <w:r w:rsidR="00850420"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>aceeași</w:t>
      </w:r>
      <w:r w:rsidR="00703B0A"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perioadă a anului 2015</w:t>
      </w:r>
      <w:r w:rsidR="00703B0A">
        <w:rPr>
          <w:rFonts w:ascii="Times New Roman" w:hAnsi="Times New Roman"/>
          <w:color w:val="000000" w:themeColor="text1"/>
          <w:sz w:val="24"/>
          <w:szCs w:val="24"/>
          <w:lang w:val="ro-RO"/>
        </w:rPr>
        <w:t>,</w:t>
      </w:r>
    </w:p>
    <w:p w:rsidR="00895B4F" w:rsidRPr="00F3179A" w:rsidRDefault="00895B4F" w:rsidP="00A11C87">
      <w:pPr>
        <w:pStyle w:val="a5"/>
        <w:numPr>
          <w:ilvl w:val="0"/>
          <w:numId w:val="27"/>
        </w:numPr>
        <w:tabs>
          <w:tab w:val="left" w:pos="142"/>
        </w:tabs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F3179A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casate– </w:t>
      </w:r>
      <w:r w:rsidR="00703B0A" w:rsidRPr="00F3179A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 xml:space="preserve"> 18 </w:t>
      </w:r>
      <w:r w:rsidRPr="00F3179A">
        <w:rPr>
          <w:rFonts w:ascii="Times New Roman" w:hAnsi="Times New Roman"/>
          <w:color w:val="000000" w:themeColor="text1"/>
          <w:sz w:val="24"/>
          <w:szCs w:val="24"/>
          <w:lang w:val="ro-RO"/>
        </w:rPr>
        <w:t>cauze (</w:t>
      </w:r>
      <w:r w:rsidR="005A3EA8" w:rsidRPr="00F3179A">
        <w:rPr>
          <w:rFonts w:ascii="Times New Roman" w:hAnsi="Times New Roman"/>
          <w:color w:val="000000" w:themeColor="text1"/>
          <w:sz w:val="24"/>
          <w:szCs w:val="24"/>
          <w:lang w:val="ro-RO"/>
        </w:rPr>
        <w:t>47,37</w:t>
      </w:r>
      <w:r w:rsidRPr="00F3179A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%)</w:t>
      </w:r>
      <w:r w:rsidR="00703B0A" w:rsidRPr="00F3179A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, cu </w:t>
      </w:r>
      <w:r w:rsidR="00D33A74" w:rsidRPr="00F3179A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>4</w:t>
      </w:r>
      <w:r w:rsidR="00703B0A" w:rsidRPr="00F3179A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cauză mai puțin ca în </w:t>
      </w:r>
      <w:r w:rsidR="00850420" w:rsidRPr="00F3179A">
        <w:rPr>
          <w:rFonts w:ascii="Times New Roman" w:hAnsi="Times New Roman"/>
          <w:color w:val="000000" w:themeColor="text1"/>
          <w:sz w:val="24"/>
          <w:szCs w:val="24"/>
          <w:lang w:val="ro-RO"/>
        </w:rPr>
        <w:t>aceeași</w:t>
      </w:r>
      <w:r w:rsidR="00703B0A" w:rsidRPr="00F3179A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perioadă a anului 2015,</w:t>
      </w:r>
    </w:p>
    <w:p w:rsidR="00703B0A" w:rsidRPr="00200430" w:rsidRDefault="00703B0A" w:rsidP="00703B0A">
      <w:pPr>
        <w:pStyle w:val="a5"/>
        <w:tabs>
          <w:tab w:val="left" w:pos="142"/>
        </w:tabs>
        <w:ind w:right="-1" w:firstLine="426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</w:p>
    <w:p w:rsidR="00F3179A" w:rsidRDefault="00895B4F" w:rsidP="00F3179A">
      <w:pPr>
        <w:pStyle w:val="a5"/>
        <w:tabs>
          <w:tab w:val="left" w:pos="142"/>
        </w:tabs>
        <w:ind w:right="-1" w:firstLine="426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200430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ro-RO"/>
        </w:rPr>
        <w:t>Judecătoria Leova</w:t>
      </w:r>
      <w:r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– examinate – </w:t>
      </w:r>
      <w:r w:rsidR="00D33A74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>11</w:t>
      </w:r>
      <w:r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cauze, cu </w:t>
      </w:r>
      <w:r w:rsidR="00D33A74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>4</w:t>
      </w:r>
      <w:r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cauz</w:t>
      </w:r>
      <w:r w:rsidR="005F6BB0"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>ă</w:t>
      </w:r>
      <w:r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mai </w:t>
      </w:r>
      <w:r w:rsidR="005F6BB0"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>puțin</w:t>
      </w:r>
      <w:r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ca în </w:t>
      </w:r>
      <w:r w:rsidR="00850420"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>aceeași</w:t>
      </w:r>
      <w:r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perioadă a anului 201</w:t>
      </w:r>
      <w:r w:rsidR="005F6BB0"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>5</w:t>
      </w:r>
      <w:r w:rsidR="00F3179A">
        <w:rPr>
          <w:rFonts w:ascii="Times New Roman" w:hAnsi="Times New Roman"/>
          <w:color w:val="000000" w:themeColor="text1"/>
          <w:sz w:val="24"/>
          <w:szCs w:val="24"/>
          <w:lang w:val="ro-RO"/>
        </w:rPr>
        <w:t>,</w:t>
      </w:r>
    </w:p>
    <w:p w:rsidR="00F3179A" w:rsidRDefault="00895B4F" w:rsidP="00A11C87">
      <w:pPr>
        <w:pStyle w:val="a5"/>
        <w:numPr>
          <w:ilvl w:val="0"/>
          <w:numId w:val="28"/>
        </w:numPr>
        <w:tabs>
          <w:tab w:val="left" w:pos="142"/>
        </w:tabs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menținute fără modificări – </w:t>
      </w:r>
      <w:r w:rsidR="00D33A74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>5</w:t>
      </w:r>
      <w:r w:rsidR="000F485F" w:rsidRPr="00200430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 xml:space="preserve"> </w:t>
      </w:r>
      <w:r w:rsidR="00703B0A">
        <w:rPr>
          <w:rFonts w:ascii="Times New Roman" w:hAnsi="Times New Roman"/>
          <w:color w:val="000000" w:themeColor="text1"/>
          <w:sz w:val="24"/>
          <w:szCs w:val="24"/>
          <w:lang w:val="ro-RO"/>
        </w:rPr>
        <w:t>cauze (</w:t>
      </w:r>
      <w:r w:rsidR="005A3EA8">
        <w:rPr>
          <w:rFonts w:ascii="Times New Roman" w:hAnsi="Times New Roman"/>
          <w:color w:val="000000" w:themeColor="text1"/>
          <w:sz w:val="24"/>
          <w:szCs w:val="24"/>
          <w:lang w:val="ro-RO"/>
        </w:rPr>
        <w:t>45,45</w:t>
      </w:r>
      <w:r w:rsidR="00703B0A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%), </w:t>
      </w:r>
      <w:r w:rsidR="00703B0A"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cu </w:t>
      </w:r>
      <w:r w:rsidR="00703B0A" w:rsidRPr="00200430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>1</w:t>
      </w:r>
      <w:r w:rsidR="00703B0A"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cauză mai</w:t>
      </w:r>
      <w:r w:rsidR="00D33A74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="00850420">
        <w:rPr>
          <w:rFonts w:ascii="Times New Roman" w:hAnsi="Times New Roman"/>
          <w:color w:val="000000" w:themeColor="text1"/>
          <w:sz w:val="24"/>
          <w:szCs w:val="24"/>
          <w:lang w:val="ro-RO"/>
        </w:rPr>
        <w:t>mult</w:t>
      </w:r>
      <w:r w:rsidR="00850420"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ca</w:t>
      </w:r>
      <w:r w:rsidR="00703B0A"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în </w:t>
      </w:r>
      <w:r w:rsidR="00850420"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>aceeași</w:t>
      </w:r>
      <w:r w:rsidR="00703B0A"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perioadă a anului 2015</w:t>
      </w:r>
      <w:r w:rsidR="00703B0A">
        <w:rPr>
          <w:rFonts w:ascii="Times New Roman" w:hAnsi="Times New Roman"/>
          <w:color w:val="000000" w:themeColor="text1"/>
          <w:sz w:val="24"/>
          <w:szCs w:val="24"/>
          <w:lang w:val="ro-RO"/>
        </w:rPr>
        <w:t>,</w:t>
      </w:r>
    </w:p>
    <w:p w:rsidR="00703B0A" w:rsidRPr="00F3179A" w:rsidRDefault="00895B4F" w:rsidP="00A11C87">
      <w:pPr>
        <w:pStyle w:val="a5"/>
        <w:numPr>
          <w:ilvl w:val="0"/>
          <w:numId w:val="28"/>
        </w:numPr>
        <w:tabs>
          <w:tab w:val="left" w:pos="142"/>
        </w:tabs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F3179A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casate– </w:t>
      </w:r>
      <w:r w:rsidR="00D33A74" w:rsidRPr="00F3179A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>6</w:t>
      </w:r>
      <w:r w:rsidR="00703B0A" w:rsidRPr="00F3179A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cauze </w:t>
      </w:r>
      <w:r w:rsidR="005A3EA8" w:rsidRPr="00F3179A">
        <w:rPr>
          <w:rFonts w:ascii="Times New Roman" w:hAnsi="Times New Roman"/>
          <w:color w:val="000000" w:themeColor="text1"/>
          <w:sz w:val="24"/>
          <w:szCs w:val="24"/>
          <w:lang w:val="ro-RO"/>
        </w:rPr>
        <w:t>(54,55</w:t>
      </w:r>
      <w:r w:rsidR="00703B0A" w:rsidRPr="00F3179A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%), cu </w:t>
      </w:r>
      <w:r w:rsidR="00D33A74" w:rsidRPr="00F3179A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>3</w:t>
      </w:r>
      <w:r w:rsidR="00703B0A" w:rsidRPr="00F3179A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cauză mai </w:t>
      </w:r>
      <w:r w:rsidR="00D33A74" w:rsidRPr="00F3179A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mult </w:t>
      </w:r>
      <w:r w:rsidR="00703B0A" w:rsidRPr="00F3179A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ca în </w:t>
      </w:r>
      <w:r w:rsidR="00850420" w:rsidRPr="00F3179A">
        <w:rPr>
          <w:rFonts w:ascii="Times New Roman" w:hAnsi="Times New Roman"/>
          <w:color w:val="000000" w:themeColor="text1"/>
          <w:sz w:val="24"/>
          <w:szCs w:val="24"/>
          <w:lang w:val="ro-RO"/>
        </w:rPr>
        <w:t>aceeași</w:t>
      </w:r>
      <w:r w:rsidR="00703B0A" w:rsidRPr="00F3179A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perioadă a anului 2015,</w:t>
      </w:r>
    </w:p>
    <w:p w:rsidR="00895B4F" w:rsidRPr="00200430" w:rsidRDefault="00895B4F" w:rsidP="00895B4F">
      <w:pPr>
        <w:tabs>
          <w:tab w:val="left" w:pos="142"/>
        </w:tabs>
        <w:ind w:right="-1"/>
        <w:rPr>
          <w:color w:val="000000" w:themeColor="text1"/>
          <w:szCs w:val="24"/>
          <w:lang w:val="ro-RO"/>
        </w:rPr>
      </w:pPr>
    </w:p>
    <w:p w:rsidR="00F3179A" w:rsidRDefault="00895B4F" w:rsidP="00703B0A">
      <w:pPr>
        <w:pStyle w:val="a5"/>
        <w:tabs>
          <w:tab w:val="left" w:pos="142"/>
        </w:tabs>
        <w:ind w:right="-1" w:firstLine="426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200430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ro-RO"/>
        </w:rPr>
        <w:lastRenderedPageBreak/>
        <w:t>Judecătoria Cantemir</w:t>
      </w:r>
      <w:r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– examinate – </w:t>
      </w:r>
      <w:r w:rsidR="00D33A74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>14</w:t>
      </w:r>
      <w:r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cauze, cu </w:t>
      </w:r>
      <w:r w:rsidR="00D33A74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>5</w:t>
      </w:r>
      <w:r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cauze mai mult ca în </w:t>
      </w:r>
      <w:r w:rsidR="00850420"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>aceeași</w:t>
      </w:r>
      <w:r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perioadă a anului 201</w:t>
      </w:r>
      <w:r w:rsidR="005F6BB0"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>5</w:t>
      </w:r>
      <w:r w:rsidR="00F3179A">
        <w:rPr>
          <w:rFonts w:ascii="Times New Roman" w:hAnsi="Times New Roman"/>
          <w:color w:val="000000" w:themeColor="text1"/>
          <w:sz w:val="24"/>
          <w:szCs w:val="24"/>
          <w:lang w:val="ro-RO"/>
        </w:rPr>
        <w:t>,</w:t>
      </w:r>
      <w:r w:rsidR="00F3179A">
        <w:rPr>
          <w:rFonts w:ascii="Times New Roman" w:hAnsi="Times New Roman"/>
          <w:color w:val="000000" w:themeColor="text1"/>
          <w:sz w:val="24"/>
          <w:szCs w:val="24"/>
          <w:lang w:val="ro-RO"/>
        </w:rPr>
        <w:tab/>
      </w:r>
    </w:p>
    <w:p w:rsidR="00F3179A" w:rsidRDefault="00895B4F" w:rsidP="00A11C87">
      <w:pPr>
        <w:pStyle w:val="a5"/>
        <w:numPr>
          <w:ilvl w:val="0"/>
          <w:numId w:val="29"/>
        </w:numPr>
        <w:tabs>
          <w:tab w:val="left" w:pos="142"/>
        </w:tabs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menținute fără modificări – </w:t>
      </w:r>
      <w:r w:rsidR="00D33A74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>8</w:t>
      </w:r>
      <w:r w:rsidR="00703B0A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cauze (</w:t>
      </w:r>
      <w:r w:rsidR="005A3EA8">
        <w:rPr>
          <w:rFonts w:ascii="Times New Roman" w:hAnsi="Times New Roman"/>
          <w:color w:val="000000" w:themeColor="text1"/>
          <w:sz w:val="24"/>
          <w:szCs w:val="24"/>
          <w:lang w:val="ro-RO"/>
        </w:rPr>
        <w:t>57,14</w:t>
      </w:r>
      <w:r w:rsidR="00703B0A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%), </w:t>
      </w:r>
      <w:r w:rsidR="00703B0A"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cu </w:t>
      </w:r>
      <w:r w:rsidR="00D33A74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>3</w:t>
      </w:r>
      <w:r w:rsidR="00703B0A"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cauză mai </w:t>
      </w:r>
      <w:r w:rsidR="00D33A74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mult </w:t>
      </w:r>
      <w:r w:rsidR="00703B0A"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ca în </w:t>
      </w:r>
      <w:r w:rsidR="00850420"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>aceeași</w:t>
      </w:r>
      <w:r w:rsidR="00703B0A"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perioadă a anului 2015</w:t>
      </w:r>
      <w:r w:rsidR="00703B0A">
        <w:rPr>
          <w:rFonts w:ascii="Times New Roman" w:hAnsi="Times New Roman"/>
          <w:color w:val="000000" w:themeColor="text1"/>
          <w:sz w:val="24"/>
          <w:szCs w:val="24"/>
          <w:lang w:val="ro-RO"/>
        </w:rPr>
        <w:t>,</w:t>
      </w:r>
    </w:p>
    <w:p w:rsidR="00703B0A" w:rsidRPr="00F3179A" w:rsidRDefault="00895B4F" w:rsidP="00A11C87">
      <w:pPr>
        <w:pStyle w:val="a5"/>
        <w:numPr>
          <w:ilvl w:val="0"/>
          <w:numId w:val="29"/>
        </w:numPr>
        <w:tabs>
          <w:tab w:val="left" w:pos="142"/>
        </w:tabs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F3179A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casate – </w:t>
      </w:r>
      <w:r w:rsidR="00D33A74" w:rsidRPr="00F3179A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>6</w:t>
      </w:r>
      <w:r w:rsidR="00703B0A" w:rsidRPr="00F3179A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cauze (</w:t>
      </w:r>
      <w:r w:rsidR="005A3EA8" w:rsidRPr="00F3179A">
        <w:rPr>
          <w:rFonts w:ascii="Times New Roman" w:hAnsi="Times New Roman"/>
          <w:color w:val="000000" w:themeColor="text1"/>
          <w:sz w:val="24"/>
          <w:szCs w:val="24"/>
          <w:lang w:val="ro-RO"/>
        </w:rPr>
        <w:t>42,86</w:t>
      </w:r>
      <w:r w:rsidR="00703B0A" w:rsidRPr="00F3179A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%), cu </w:t>
      </w:r>
      <w:r w:rsidR="00D33A74" w:rsidRPr="00F3179A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>2</w:t>
      </w:r>
      <w:r w:rsidR="00703B0A" w:rsidRPr="00F3179A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cauz</w:t>
      </w:r>
      <w:r w:rsidR="00D33A74" w:rsidRPr="00F3179A">
        <w:rPr>
          <w:rFonts w:ascii="Times New Roman" w:hAnsi="Times New Roman"/>
          <w:color w:val="000000" w:themeColor="text1"/>
          <w:sz w:val="24"/>
          <w:szCs w:val="24"/>
          <w:lang w:val="ro-RO"/>
        </w:rPr>
        <w:t>e</w:t>
      </w:r>
      <w:r w:rsidR="00703B0A" w:rsidRPr="00F3179A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mai </w:t>
      </w:r>
      <w:r w:rsidR="00D33A74" w:rsidRPr="00F3179A">
        <w:rPr>
          <w:rFonts w:ascii="Times New Roman" w:hAnsi="Times New Roman"/>
          <w:color w:val="000000" w:themeColor="text1"/>
          <w:sz w:val="24"/>
          <w:szCs w:val="24"/>
          <w:lang w:val="ro-RO"/>
        </w:rPr>
        <w:t>mult</w:t>
      </w:r>
      <w:r w:rsidR="00703B0A" w:rsidRPr="00F3179A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ca în </w:t>
      </w:r>
      <w:r w:rsidR="00850420" w:rsidRPr="00F3179A">
        <w:rPr>
          <w:rFonts w:ascii="Times New Roman" w:hAnsi="Times New Roman"/>
          <w:color w:val="000000" w:themeColor="text1"/>
          <w:sz w:val="24"/>
          <w:szCs w:val="24"/>
          <w:lang w:val="ro-RO"/>
        </w:rPr>
        <w:t>aceeași</w:t>
      </w:r>
      <w:r w:rsidR="00703B0A" w:rsidRPr="00F3179A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perioadă a anului 2015,</w:t>
      </w:r>
    </w:p>
    <w:p w:rsidR="00895B4F" w:rsidRPr="00200430" w:rsidRDefault="00895B4F" w:rsidP="00895B4F">
      <w:pPr>
        <w:tabs>
          <w:tab w:val="left" w:pos="142"/>
        </w:tabs>
        <w:ind w:left="567" w:right="-1"/>
        <w:rPr>
          <w:color w:val="000000" w:themeColor="text1"/>
          <w:szCs w:val="24"/>
          <w:lang w:val="ro-RO"/>
        </w:rPr>
      </w:pPr>
    </w:p>
    <w:p w:rsidR="00F3179A" w:rsidRDefault="00895B4F" w:rsidP="00F3179A">
      <w:pPr>
        <w:pStyle w:val="a5"/>
        <w:tabs>
          <w:tab w:val="left" w:pos="142"/>
        </w:tabs>
        <w:ind w:right="-1"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200430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ro-RO"/>
        </w:rPr>
        <w:t xml:space="preserve">Judecătoria Taraclia </w:t>
      </w:r>
      <w:r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– examinate – </w:t>
      </w:r>
      <w:r w:rsidR="00D33A74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>11</w:t>
      </w:r>
      <w:r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cauze, </w:t>
      </w:r>
      <w:r w:rsidR="00D33A74" w:rsidRPr="00D33A74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>1</w:t>
      </w:r>
      <w:r w:rsidR="00D33A74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cauză mai puțin</w:t>
      </w:r>
      <w:r w:rsidR="00D33A74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 xml:space="preserve"> </w:t>
      </w:r>
      <w:r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ca în </w:t>
      </w:r>
      <w:r w:rsidR="00850420"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>aceeași</w:t>
      </w:r>
      <w:r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perioadă a anului 201</w:t>
      </w:r>
      <w:r w:rsidR="005F6BB0"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>5</w:t>
      </w:r>
      <w:r w:rsidR="00F3179A">
        <w:rPr>
          <w:rFonts w:ascii="Times New Roman" w:hAnsi="Times New Roman"/>
          <w:color w:val="000000" w:themeColor="text1"/>
          <w:sz w:val="24"/>
          <w:szCs w:val="24"/>
          <w:lang w:val="ro-RO"/>
        </w:rPr>
        <w:t>,</w:t>
      </w:r>
    </w:p>
    <w:p w:rsidR="00895B4F" w:rsidRPr="00200430" w:rsidRDefault="00895B4F" w:rsidP="00A11C87">
      <w:pPr>
        <w:pStyle w:val="a5"/>
        <w:numPr>
          <w:ilvl w:val="0"/>
          <w:numId w:val="31"/>
        </w:numPr>
        <w:tabs>
          <w:tab w:val="left" w:pos="142"/>
        </w:tabs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>menținute fără modificări –</w:t>
      </w:r>
      <w:r w:rsidR="00D33A74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="00D33A74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 xml:space="preserve">4 </w:t>
      </w:r>
      <w:r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>cauze (</w:t>
      </w:r>
      <w:r w:rsidR="005A3EA8">
        <w:rPr>
          <w:rFonts w:ascii="Times New Roman" w:hAnsi="Times New Roman"/>
          <w:color w:val="000000" w:themeColor="text1"/>
          <w:sz w:val="24"/>
          <w:szCs w:val="24"/>
          <w:lang w:val="ro-RO"/>
        </w:rPr>
        <w:t>36,36</w:t>
      </w:r>
      <w:r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%)</w:t>
      </w:r>
      <w:r w:rsidR="00703B0A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, </w:t>
      </w:r>
      <w:r w:rsidR="00D33A74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la fel </w:t>
      </w:r>
      <w:r w:rsidR="00703B0A"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ca în </w:t>
      </w:r>
      <w:r w:rsidR="00850420"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>aceeași</w:t>
      </w:r>
      <w:r w:rsidR="00703B0A"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perioadă a anului 2015</w:t>
      </w:r>
      <w:r w:rsidR="00703B0A">
        <w:rPr>
          <w:rFonts w:ascii="Times New Roman" w:hAnsi="Times New Roman"/>
          <w:color w:val="000000" w:themeColor="text1"/>
          <w:sz w:val="24"/>
          <w:szCs w:val="24"/>
          <w:lang w:val="ro-RO"/>
        </w:rPr>
        <w:t>,</w:t>
      </w:r>
    </w:p>
    <w:p w:rsidR="00703B0A" w:rsidRPr="00200430" w:rsidRDefault="00895B4F" w:rsidP="00A11C87">
      <w:pPr>
        <w:pStyle w:val="a5"/>
        <w:numPr>
          <w:ilvl w:val="0"/>
          <w:numId w:val="30"/>
        </w:numPr>
        <w:tabs>
          <w:tab w:val="left" w:pos="142"/>
        </w:tabs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casate – </w:t>
      </w:r>
      <w:r w:rsidR="00D33A74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 xml:space="preserve">7 </w:t>
      </w:r>
      <w:r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c</w:t>
      </w:r>
      <w:r w:rsidR="00703B0A">
        <w:rPr>
          <w:rFonts w:ascii="Times New Roman" w:hAnsi="Times New Roman"/>
          <w:color w:val="000000" w:themeColor="text1"/>
          <w:sz w:val="24"/>
          <w:szCs w:val="24"/>
          <w:lang w:val="ro-RO"/>
        </w:rPr>
        <w:t>auze (</w:t>
      </w:r>
      <w:r w:rsidR="005A3EA8">
        <w:rPr>
          <w:rFonts w:ascii="Times New Roman" w:hAnsi="Times New Roman"/>
          <w:color w:val="000000" w:themeColor="text1"/>
          <w:sz w:val="24"/>
          <w:szCs w:val="24"/>
          <w:lang w:val="ro-RO"/>
        </w:rPr>
        <w:t>63,64</w:t>
      </w:r>
      <w:r w:rsidR="00703B0A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%), </w:t>
      </w:r>
      <w:r w:rsidR="00703B0A"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cu </w:t>
      </w:r>
      <w:r w:rsidR="00D33A74" w:rsidRPr="00D33A74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>1</w:t>
      </w:r>
      <w:r w:rsidR="00703B0A"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cauză mai puțin ca în </w:t>
      </w:r>
      <w:r w:rsidR="00850420"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>aceeași</w:t>
      </w:r>
      <w:r w:rsidR="00703B0A"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perioadă a anului 2015,</w:t>
      </w:r>
    </w:p>
    <w:p w:rsidR="00895B4F" w:rsidRPr="00200430" w:rsidRDefault="00895B4F" w:rsidP="00703B0A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</w:p>
    <w:p w:rsidR="00895B4F" w:rsidRDefault="00895B4F" w:rsidP="00895B4F">
      <w:pPr>
        <w:pStyle w:val="a5"/>
        <w:tabs>
          <w:tab w:val="left" w:pos="142"/>
        </w:tabs>
        <w:ind w:right="-1"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200430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ro-RO"/>
        </w:rPr>
        <w:t xml:space="preserve">Judecătoria Comrat </w:t>
      </w:r>
      <w:r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– examinate – </w:t>
      </w:r>
      <w:r w:rsidR="00D33A74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>2</w:t>
      </w:r>
      <w:r w:rsidRPr="00200430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 xml:space="preserve"> </w:t>
      </w:r>
      <w:r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>cauze, cu</w:t>
      </w:r>
      <w:r w:rsidR="00D33A74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2 </w:t>
      </w:r>
      <w:r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>cauz</w:t>
      </w:r>
      <w:r w:rsidR="00D33A74">
        <w:rPr>
          <w:rFonts w:ascii="Times New Roman" w:hAnsi="Times New Roman"/>
          <w:color w:val="000000" w:themeColor="text1"/>
          <w:sz w:val="24"/>
          <w:szCs w:val="24"/>
          <w:lang w:val="ro-RO"/>
        </w:rPr>
        <w:t>e</w:t>
      </w:r>
      <w:r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mai </w:t>
      </w:r>
      <w:r w:rsidR="005F6BB0"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mult </w:t>
      </w:r>
      <w:r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ca în </w:t>
      </w:r>
      <w:r w:rsidR="00850420"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>aceeași</w:t>
      </w:r>
      <w:r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perioadă a anului 201</w:t>
      </w:r>
      <w:r w:rsidR="005F6BB0"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>5</w:t>
      </w:r>
      <w:r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>,</w:t>
      </w:r>
    </w:p>
    <w:p w:rsidR="00F3179A" w:rsidRDefault="005A3EA8" w:rsidP="00A11C87">
      <w:pPr>
        <w:pStyle w:val="a5"/>
        <w:numPr>
          <w:ilvl w:val="0"/>
          <w:numId w:val="30"/>
        </w:numPr>
        <w:tabs>
          <w:tab w:val="left" w:pos="142"/>
        </w:tabs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>menținute fără modificări –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 xml:space="preserve">1 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>cauză</w:t>
      </w:r>
      <w:r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(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>50</w:t>
      </w:r>
      <w:r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>%)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, cu </w:t>
      </w:r>
      <w:r w:rsidRPr="005A3EA8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>1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cauză mai mult </w:t>
      </w:r>
      <w:r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ca în </w:t>
      </w:r>
      <w:r w:rsidR="00850420"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>aceeași</w:t>
      </w:r>
      <w:r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perioadă a anului 2015</w:t>
      </w:r>
    </w:p>
    <w:p w:rsidR="00703B0A" w:rsidRPr="00F3179A" w:rsidRDefault="00895B4F" w:rsidP="00A11C87">
      <w:pPr>
        <w:pStyle w:val="a5"/>
        <w:numPr>
          <w:ilvl w:val="0"/>
          <w:numId w:val="30"/>
        </w:numPr>
        <w:tabs>
          <w:tab w:val="left" w:pos="142"/>
        </w:tabs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F3179A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casate – </w:t>
      </w:r>
      <w:r w:rsidRPr="00F3179A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>1</w:t>
      </w:r>
      <w:r w:rsidR="00D33A74" w:rsidRPr="00F3179A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cauză</w:t>
      </w:r>
      <w:r w:rsidRPr="00F3179A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(</w:t>
      </w:r>
      <w:r w:rsidR="005A3EA8" w:rsidRPr="00F3179A">
        <w:rPr>
          <w:rFonts w:ascii="Times New Roman" w:hAnsi="Times New Roman"/>
          <w:color w:val="000000" w:themeColor="text1"/>
          <w:sz w:val="24"/>
          <w:szCs w:val="24"/>
          <w:lang w:val="ro-RO"/>
        </w:rPr>
        <w:t>50</w:t>
      </w:r>
      <w:r w:rsidRPr="00F3179A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%),</w:t>
      </w:r>
      <w:r w:rsidR="00703B0A" w:rsidRPr="00F3179A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cu </w:t>
      </w:r>
      <w:r w:rsidR="00703B0A" w:rsidRPr="00F3179A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>1</w:t>
      </w:r>
      <w:r w:rsidR="00703B0A" w:rsidRPr="00F3179A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cauză mai </w:t>
      </w:r>
      <w:r w:rsidR="005A3EA8" w:rsidRPr="00F3179A">
        <w:rPr>
          <w:rFonts w:ascii="Times New Roman" w:hAnsi="Times New Roman"/>
          <w:color w:val="000000" w:themeColor="text1"/>
          <w:sz w:val="24"/>
          <w:szCs w:val="24"/>
          <w:lang w:val="ro-RO"/>
        </w:rPr>
        <w:t>mult</w:t>
      </w:r>
      <w:r w:rsidR="00703B0A" w:rsidRPr="00F3179A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ca în </w:t>
      </w:r>
      <w:r w:rsidR="00850420" w:rsidRPr="00F3179A">
        <w:rPr>
          <w:rFonts w:ascii="Times New Roman" w:hAnsi="Times New Roman"/>
          <w:color w:val="000000" w:themeColor="text1"/>
          <w:sz w:val="24"/>
          <w:szCs w:val="24"/>
          <w:lang w:val="ro-RO"/>
        </w:rPr>
        <w:t>aceeași</w:t>
      </w:r>
      <w:r w:rsidR="00703B0A" w:rsidRPr="00F3179A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perioadă a anului 2015,</w:t>
      </w:r>
    </w:p>
    <w:p w:rsidR="00895B4F" w:rsidRPr="00200430" w:rsidRDefault="00895B4F" w:rsidP="00703B0A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</w:p>
    <w:p w:rsidR="00895B4F" w:rsidRPr="00200430" w:rsidRDefault="00895B4F" w:rsidP="00895B4F">
      <w:pPr>
        <w:pStyle w:val="a5"/>
        <w:tabs>
          <w:tab w:val="left" w:pos="142"/>
        </w:tabs>
        <w:ind w:right="-1"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200430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ro-RO"/>
        </w:rPr>
        <w:t>Judecătoria C</w:t>
      </w:r>
      <w:r w:rsidR="007C0E8B" w:rsidRPr="00200430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ro-RO"/>
        </w:rPr>
        <w:t>e</w:t>
      </w:r>
      <w:r w:rsidRPr="00200430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ro-RO"/>
        </w:rPr>
        <w:t>adîr-Lunga</w:t>
      </w:r>
      <w:r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– examinate – </w:t>
      </w:r>
      <w:r w:rsidR="00D33A74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 xml:space="preserve">2 </w:t>
      </w:r>
      <w:r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cauze, la fel ca în </w:t>
      </w:r>
      <w:r w:rsidR="00850420"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>aceeași</w:t>
      </w:r>
      <w:r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perioadă a anului 201</w:t>
      </w:r>
      <w:r w:rsidR="005F6BB0"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>5</w:t>
      </w:r>
      <w:r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>,</w:t>
      </w:r>
    </w:p>
    <w:p w:rsidR="00F3179A" w:rsidRDefault="00895B4F" w:rsidP="00A11C87">
      <w:pPr>
        <w:pStyle w:val="a5"/>
        <w:numPr>
          <w:ilvl w:val="0"/>
          <w:numId w:val="32"/>
        </w:numPr>
        <w:tabs>
          <w:tab w:val="left" w:pos="142"/>
        </w:tabs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>menținute fără modificări –</w:t>
      </w:r>
      <w:r w:rsidR="00D33A74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 xml:space="preserve"> 2</w:t>
      </w:r>
      <w:r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cauze (</w:t>
      </w:r>
      <w:r w:rsidR="005A3EA8">
        <w:rPr>
          <w:rFonts w:ascii="Times New Roman" w:hAnsi="Times New Roman"/>
          <w:color w:val="000000" w:themeColor="text1"/>
          <w:sz w:val="24"/>
          <w:szCs w:val="24"/>
          <w:lang w:val="ro-RO"/>
        </w:rPr>
        <w:t>100</w:t>
      </w:r>
      <w:r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%),</w:t>
      </w:r>
      <w:r w:rsidR="00703B0A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="00703B0A"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cu </w:t>
      </w:r>
      <w:r w:rsidR="00D33A74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>2</w:t>
      </w:r>
      <w:r w:rsidR="00703B0A"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cauză mai </w:t>
      </w:r>
      <w:r w:rsidR="00D33A74">
        <w:rPr>
          <w:rFonts w:ascii="Times New Roman" w:hAnsi="Times New Roman"/>
          <w:color w:val="000000" w:themeColor="text1"/>
          <w:sz w:val="24"/>
          <w:szCs w:val="24"/>
          <w:lang w:val="ro-RO"/>
        </w:rPr>
        <w:t>mult</w:t>
      </w:r>
      <w:r w:rsidR="00703B0A"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ca în </w:t>
      </w:r>
      <w:r w:rsidR="00850420"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>aceeași</w:t>
      </w:r>
      <w:r w:rsidR="00703B0A"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perioadă a anului 2015</w:t>
      </w:r>
      <w:r w:rsidR="00703B0A">
        <w:rPr>
          <w:rFonts w:ascii="Times New Roman" w:hAnsi="Times New Roman"/>
          <w:color w:val="000000" w:themeColor="text1"/>
          <w:sz w:val="24"/>
          <w:szCs w:val="24"/>
          <w:lang w:val="ro-RO"/>
        </w:rPr>
        <w:t>,</w:t>
      </w:r>
    </w:p>
    <w:p w:rsidR="00703B0A" w:rsidRPr="00F3179A" w:rsidRDefault="00895B4F" w:rsidP="00A11C87">
      <w:pPr>
        <w:pStyle w:val="a5"/>
        <w:numPr>
          <w:ilvl w:val="0"/>
          <w:numId w:val="32"/>
        </w:numPr>
        <w:tabs>
          <w:tab w:val="left" w:pos="142"/>
        </w:tabs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F3179A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casate – </w:t>
      </w:r>
      <w:r w:rsidR="005F6BB0" w:rsidRPr="00F3179A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>0</w:t>
      </w:r>
      <w:r w:rsidR="005A3EA8" w:rsidRPr="00F3179A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cauze (0</w:t>
      </w:r>
      <w:r w:rsidR="00703B0A" w:rsidRPr="00F3179A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%), cu </w:t>
      </w:r>
      <w:r w:rsidR="00D33A74" w:rsidRPr="00F3179A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>2</w:t>
      </w:r>
      <w:r w:rsidR="00703B0A" w:rsidRPr="00F3179A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cauză mai puțin ca în </w:t>
      </w:r>
      <w:r w:rsidR="00850420" w:rsidRPr="00F3179A">
        <w:rPr>
          <w:rFonts w:ascii="Times New Roman" w:hAnsi="Times New Roman"/>
          <w:color w:val="000000" w:themeColor="text1"/>
          <w:sz w:val="24"/>
          <w:szCs w:val="24"/>
          <w:lang w:val="ro-RO"/>
        </w:rPr>
        <w:t>aceeași</w:t>
      </w:r>
      <w:r w:rsidR="00703B0A" w:rsidRPr="00F3179A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perioadă a anului 2015,</w:t>
      </w:r>
    </w:p>
    <w:p w:rsidR="00895B4F" w:rsidRPr="00200430" w:rsidRDefault="00895B4F" w:rsidP="00703B0A">
      <w:pPr>
        <w:pStyle w:val="a5"/>
        <w:tabs>
          <w:tab w:val="left" w:pos="142"/>
        </w:tabs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</w:p>
    <w:p w:rsidR="00895B4F" w:rsidRPr="00200430" w:rsidRDefault="00895B4F" w:rsidP="00895B4F">
      <w:pPr>
        <w:pStyle w:val="a5"/>
        <w:tabs>
          <w:tab w:val="left" w:pos="142"/>
        </w:tabs>
        <w:ind w:right="-1"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200430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ro-RO"/>
        </w:rPr>
        <w:t xml:space="preserve">Curtea de Apel Cahul </w:t>
      </w:r>
      <w:r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– examinate – </w:t>
      </w:r>
      <w:r w:rsidR="00D33A74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 xml:space="preserve">6 </w:t>
      </w:r>
      <w:r w:rsidR="00D33A74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cauze, </w:t>
      </w:r>
      <w:r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cu </w:t>
      </w:r>
      <w:r w:rsidR="005F6BB0" w:rsidRPr="00200430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>3</w:t>
      </w:r>
      <w:r w:rsidR="00D33A74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 xml:space="preserve"> </w:t>
      </w:r>
      <w:r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>cauz</w:t>
      </w:r>
      <w:r w:rsidR="005F6BB0"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>e</w:t>
      </w:r>
      <w:r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mai mult ca</w:t>
      </w:r>
      <w:r w:rsidR="007520D2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în </w:t>
      </w:r>
      <w:r w:rsidR="00850420"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>aceeași</w:t>
      </w:r>
      <w:r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perioadă a anului 201</w:t>
      </w:r>
      <w:r w:rsidR="005F6BB0"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>5</w:t>
      </w:r>
      <w:r w:rsidRPr="00200430">
        <w:rPr>
          <w:rFonts w:ascii="Times New Roman" w:hAnsi="Times New Roman"/>
          <w:color w:val="000000" w:themeColor="text1"/>
          <w:sz w:val="24"/>
          <w:szCs w:val="24"/>
          <w:lang w:val="ro-RO"/>
        </w:rPr>
        <w:t>,</w:t>
      </w:r>
    </w:p>
    <w:p w:rsidR="00895B4F" w:rsidRDefault="00895B4F" w:rsidP="00C40743">
      <w:pPr>
        <w:pStyle w:val="a5"/>
        <w:numPr>
          <w:ilvl w:val="0"/>
          <w:numId w:val="33"/>
        </w:numPr>
        <w:tabs>
          <w:tab w:val="left" w:pos="142"/>
        </w:tabs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4435BE">
        <w:rPr>
          <w:rFonts w:ascii="Times New Roman" w:hAnsi="Times New Roman"/>
          <w:color w:val="000000" w:themeColor="text1"/>
          <w:sz w:val="24"/>
          <w:szCs w:val="24"/>
          <w:lang w:val="ro-RO"/>
        </w:rPr>
        <w:t>menținute fără modificări –</w:t>
      </w:r>
      <w:r w:rsidR="00D33A74" w:rsidRPr="004435BE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 xml:space="preserve"> 6 </w:t>
      </w:r>
      <w:r w:rsidRPr="004435BE">
        <w:rPr>
          <w:rFonts w:ascii="Times New Roman" w:hAnsi="Times New Roman"/>
          <w:color w:val="000000" w:themeColor="text1"/>
          <w:sz w:val="24"/>
          <w:szCs w:val="24"/>
          <w:lang w:val="ro-RO"/>
        </w:rPr>
        <w:t>cauze (</w:t>
      </w:r>
      <w:r w:rsidR="005A3EA8" w:rsidRPr="004435BE">
        <w:rPr>
          <w:rFonts w:ascii="Times New Roman" w:hAnsi="Times New Roman"/>
          <w:color w:val="000000" w:themeColor="text1"/>
          <w:sz w:val="24"/>
          <w:szCs w:val="24"/>
          <w:lang w:val="ro-RO"/>
        </w:rPr>
        <w:t>100</w:t>
      </w:r>
      <w:r w:rsidRPr="004435BE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%),</w:t>
      </w:r>
      <w:r w:rsidR="00703B0A" w:rsidRPr="004435BE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cu </w:t>
      </w:r>
      <w:r w:rsidR="00D33A74" w:rsidRPr="004435BE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>3</w:t>
      </w:r>
      <w:r w:rsidR="00703B0A" w:rsidRPr="004435BE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cauză mai</w:t>
      </w:r>
      <w:r w:rsidR="00D33A74" w:rsidRPr="004435BE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mult</w:t>
      </w:r>
      <w:r w:rsidR="00703B0A" w:rsidRPr="004435BE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ca în </w:t>
      </w:r>
      <w:r w:rsidR="00850420" w:rsidRPr="004435BE">
        <w:rPr>
          <w:rFonts w:ascii="Times New Roman" w:hAnsi="Times New Roman"/>
          <w:color w:val="000000" w:themeColor="text1"/>
          <w:sz w:val="24"/>
          <w:szCs w:val="24"/>
          <w:lang w:val="ro-RO"/>
        </w:rPr>
        <w:t>aceeași</w:t>
      </w:r>
      <w:r w:rsidR="00703B0A" w:rsidRPr="004435BE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perioadă a anului 2015</w:t>
      </w:r>
      <w:r w:rsidR="00D33A74" w:rsidRPr="004435BE">
        <w:rPr>
          <w:rFonts w:ascii="Times New Roman" w:hAnsi="Times New Roman"/>
          <w:color w:val="000000" w:themeColor="text1"/>
          <w:sz w:val="24"/>
          <w:szCs w:val="24"/>
          <w:lang w:val="ro-RO"/>
        </w:rPr>
        <w:t>.</w:t>
      </w:r>
      <w:bookmarkStart w:id="0" w:name="_GoBack"/>
      <w:bookmarkEnd w:id="0"/>
    </w:p>
    <w:sectPr w:rsidR="00895B4F" w:rsidSect="00704F0D">
      <w:pgSz w:w="11906" w:h="16838"/>
      <w:pgMar w:top="568" w:right="851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DF8" w:rsidRDefault="00807DF8" w:rsidP="004C4093">
      <w:pPr>
        <w:spacing w:line="240" w:lineRule="auto"/>
      </w:pPr>
      <w:r>
        <w:separator/>
      </w:r>
    </w:p>
  </w:endnote>
  <w:endnote w:type="continuationSeparator" w:id="0">
    <w:p w:rsidR="00807DF8" w:rsidRDefault="00807DF8" w:rsidP="004C40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DF8" w:rsidRDefault="00807DF8" w:rsidP="004C4093">
      <w:pPr>
        <w:spacing w:line="240" w:lineRule="auto"/>
      </w:pPr>
      <w:r>
        <w:separator/>
      </w:r>
    </w:p>
  </w:footnote>
  <w:footnote w:type="continuationSeparator" w:id="0">
    <w:p w:rsidR="00807DF8" w:rsidRDefault="00807DF8" w:rsidP="004C409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81C2D"/>
    <w:multiLevelType w:val="hybridMultilevel"/>
    <w:tmpl w:val="63AAE9F8"/>
    <w:lvl w:ilvl="0" w:tplc="19263CF2">
      <w:start w:val="3"/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B124F0"/>
    <w:multiLevelType w:val="hybridMultilevel"/>
    <w:tmpl w:val="7528F516"/>
    <w:lvl w:ilvl="0" w:tplc="BB40FA8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BF1DE0"/>
    <w:multiLevelType w:val="hybridMultilevel"/>
    <w:tmpl w:val="8E1E96C4"/>
    <w:lvl w:ilvl="0" w:tplc="BB40FA82">
      <w:start w:val="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5F66D2C"/>
    <w:multiLevelType w:val="hybridMultilevel"/>
    <w:tmpl w:val="489040E4"/>
    <w:lvl w:ilvl="0" w:tplc="BB40FA82">
      <w:start w:val="6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97B70CC"/>
    <w:multiLevelType w:val="hybridMultilevel"/>
    <w:tmpl w:val="96D6137C"/>
    <w:lvl w:ilvl="0" w:tplc="19263CF2">
      <w:start w:val="3"/>
      <w:numFmt w:val="bullet"/>
      <w:lvlText w:val="–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0DDB3551"/>
    <w:multiLevelType w:val="hybridMultilevel"/>
    <w:tmpl w:val="FDCAC96C"/>
    <w:lvl w:ilvl="0" w:tplc="19263CF2">
      <w:start w:val="3"/>
      <w:numFmt w:val="bullet"/>
      <w:lvlText w:val="–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0E93496A"/>
    <w:multiLevelType w:val="hybridMultilevel"/>
    <w:tmpl w:val="A90CA1EE"/>
    <w:lvl w:ilvl="0" w:tplc="BB40FA8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8F5F46"/>
    <w:multiLevelType w:val="hybridMultilevel"/>
    <w:tmpl w:val="3B28F714"/>
    <w:lvl w:ilvl="0" w:tplc="BB40FA8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872915"/>
    <w:multiLevelType w:val="hybridMultilevel"/>
    <w:tmpl w:val="8CAE8528"/>
    <w:lvl w:ilvl="0" w:tplc="BB40FA8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837512"/>
    <w:multiLevelType w:val="hybridMultilevel"/>
    <w:tmpl w:val="0646FD04"/>
    <w:lvl w:ilvl="0" w:tplc="BB40FA82">
      <w:start w:val="6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>
    <w:nsid w:val="1B8B6008"/>
    <w:multiLevelType w:val="hybridMultilevel"/>
    <w:tmpl w:val="C59EF164"/>
    <w:lvl w:ilvl="0" w:tplc="BB40FA8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90429"/>
    <w:multiLevelType w:val="hybridMultilevel"/>
    <w:tmpl w:val="F5B23E20"/>
    <w:lvl w:ilvl="0" w:tplc="BB40FA8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964662"/>
    <w:multiLevelType w:val="hybridMultilevel"/>
    <w:tmpl w:val="7318D86A"/>
    <w:lvl w:ilvl="0" w:tplc="BB40FA8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41674F"/>
    <w:multiLevelType w:val="hybridMultilevel"/>
    <w:tmpl w:val="1752F264"/>
    <w:lvl w:ilvl="0" w:tplc="BB40FA8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69722D"/>
    <w:multiLevelType w:val="hybridMultilevel"/>
    <w:tmpl w:val="F3DA824E"/>
    <w:lvl w:ilvl="0" w:tplc="BB40FA8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4A3AEF"/>
    <w:multiLevelType w:val="hybridMultilevel"/>
    <w:tmpl w:val="1D769016"/>
    <w:lvl w:ilvl="0" w:tplc="BB40FA8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7536B8"/>
    <w:multiLevelType w:val="hybridMultilevel"/>
    <w:tmpl w:val="AC5A99B4"/>
    <w:lvl w:ilvl="0" w:tplc="BB40FA82">
      <w:start w:val="6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7">
    <w:nsid w:val="33C077D9"/>
    <w:multiLevelType w:val="hybridMultilevel"/>
    <w:tmpl w:val="598E2A54"/>
    <w:lvl w:ilvl="0" w:tplc="2BF018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BC1FCB"/>
    <w:multiLevelType w:val="hybridMultilevel"/>
    <w:tmpl w:val="D73CA5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8210F7C"/>
    <w:multiLevelType w:val="hybridMultilevel"/>
    <w:tmpl w:val="3DC8A6F0"/>
    <w:lvl w:ilvl="0" w:tplc="19263CF2">
      <w:start w:val="3"/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A57F1A"/>
    <w:multiLevelType w:val="hybridMultilevel"/>
    <w:tmpl w:val="1C78A192"/>
    <w:lvl w:ilvl="0" w:tplc="BB40FA82">
      <w:start w:val="6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3C816DEA"/>
    <w:multiLevelType w:val="hybridMultilevel"/>
    <w:tmpl w:val="C450B07A"/>
    <w:lvl w:ilvl="0" w:tplc="BB40FA8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99052E"/>
    <w:multiLevelType w:val="hybridMultilevel"/>
    <w:tmpl w:val="4EB62BA4"/>
    <w:lvl w:ilvl="0" w:tplc="19263CF2">
      <w:start w:val="3"/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477E8D"/>
    <w:multiLevelType w:val="hybridMultilevel"/>
    <w:tmpl w:val="1F988DD0"/>
    <w:lvl w:ilvl="0" w:tplc="BB40FA8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EA7183"/>
    <w:multiLevelType w:val="hybridMultilevel"/>
    <w:tmpl w:val="533A663E"/>
    <w:lvl w:ilvl="0" w:tplc="BB40FA82">
      <w:start w:val="6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5">
    <w:nsid w:val="4C5D452E"/>
    <w:multiLevelType w:val="hybridMultilevel"/>
    <w:tmpl w:val="0ECADB02"/>
    <w:lvl w:ilvl="0" w:tplc="19263CF2">
      <w:start w:val="3"/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130896"/>
    <w:multiLevelType w:val="hybridMultilevel"/>
    <w:tmpl w:val="226274DE"/>
    <w:lvl w:ilvl="0" w:tplc="BB40FA8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EB664C3"/>
    <w:multiLevelType w:val="hybridMultilevel"/>
    <w:tmpl w:val="244E4CB8"/>
    <w:lvl w:ilvl="0" w:tplc="19263CF2">
      <w:start w:val="3"/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410DC6"/>
    <w:multiLevelType w:val="hybridMultilevel"/>
    <w:tmpl w:val="B6E63A3E"/>
    <w:lvl w:ilvl="0" w:tplc="19263CF2">
      <w:start w:val="3"/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5178F1"/>
    <w:multiLevelType w:val="hybridMultilevel"/>
    <w:tmpl w:val="1920544E"/>
    <w:lvl w:ilvl="0" w:tplc="BB40FA8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706E92"/>
    <w:multiLevelType w:val="hybridMultilevel"/>
    <w:tmpl w:val="48BE3450"/>
    <w:lvl w:ilvl="0" w:tplc="BB40FA8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0E1DBC"/>
    <w:multiLevelType w:val="hybridMultilevel"/>
    <w:tmpl w:val="4484ED5C"/>
    <w:lvl w:ilvl="0" w:tplc="BB40FA8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B57E0E"/>
    <w:multiLevelType w:val="hybridMultilevel"/>
    <w:tmpl w:val="807C8122"/>
    <w:lvl w:ilvl="0" w:tplc="BB40FA8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BE69CA"/>
    <w:multiLevelType w:val="hybridMultilevel"/>
    <w:tmpl w:val="10561F8C"/>
    <w:lvl w:ilvl="0" w:tplc="BB40FA8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293938"/>
    <w:multiLevelType w:val="hybridMultilevel"/>
    <w:tmpl w:val="354E4DE0"/>
    <w:lvl w:ilvl="0" w:tplc="7E6A137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7"/>
  </w:num>
  <w:num w:numId="2">
    <w:abstractNumId w:val="23"/>
  </w:num>
  <w:num w:numId="3">
    <w:abstractNumId w:val="18"/>
  </w:num>
  <w:num w:numId="4">
    <w:abstractNumId w:val="20"/>
  </w:num>
  <w:num w:numId="5">
    <w:abstractNumId w:val="2"/>
  </w:num>
  <w:num w:numId="6">
    <w:abstractNumId w:val="29"/>
  </w:num>
  <w:num w:numId="7">
    <w:abstractNumId w:val="24"/>
  </w:num>
  <w:num w:numId="8">
    <w:abstractNumId w:val="9"/>
  </w:num>
  <w:num w:numId="9">
    <w:abstractNumId w:val="16"/>
  </w:num>
  <w:num w:numId="10">
    <w:abstractNumId w:val="3"/>
  </w:num>
  <w:num w:numId="11">
    <w:abstractNumId w:val="26"/>
  </w:num>
  <w:num w:numId="12">
    <w:abstractNumId w:val="31"/>
  </w:num>
  <w:num w:numId="13">
    <w:abstractNumId w:val="15"/>
  </w:num>
  <w:num w:numId="14">
    <w:abstractNumId w:val="7"/>
  </w:num>
  <w:num w:numId="15">
    <w:abstractNumId w:val="12"/>
  </w:num>
  <w:num w:numId="16">
    <w:abstractNumId w:val="6"/>
  </w:num>
  <w:num w:numId="17">
    <w:abstractNumId w:val="33"/>
  </w:num>
  <w:num w:numId="18">
    <w:abstractNumId w:val="21"/>
  </w:num>
  <w:num w:numId="19">
    <w:abstractNumId w:val="11"/>
  </w:num>
  <w:num w:numId="20">
    <w:abstractNumId w:val="19"/>
  </w:num>
  <w:num w:numId="21">
    <w:abstractNumId w:val="25"/>
  </w:num>
  <w:num w:numId="22">
    <w:abstractNumId w:val="0"/>
  </w:num>
  <w:num w:numId="23">
    <w:abstractNumId w:val="4"/>
  </w:num>
  <w:num w:numId="24">
    <w:abstractNumId w:val="27"/>
  </w:num>
  <w:num w:numId="25">
    <w:abstractNumId w:val="22"/>
  </w:num>
  <w:num w:numId="26">
    <w:abstractNumId w:val="28"/>
  </w:num>
  <w:num w:numId="27">
    <w:abstractNumId w:val="14"/>
  </w:num>
  <w:num w:numId="28">
    <w:abstractNumId w:val="8"/>
  </w:num>
  <w:num w:numId="29">
    <w:abstractNumId w:val="13"/>
  </w:num>
  <w:num w:numId="30">
    <w:abstractNumId w:val="1"/>
  </w:num>
  <w:num w:numId="31">
    <w:abstractNumId w:val="32"/>
  </w:num>
  <w:num w:numId="32">
    <w:abstractNumId w:val="30"/>
  </w:num>
  <w:num w:numId="33">
    <w:abstractNumId w:val="10"/>
  </w:num>
  <w:num w:numId="34">
    <w:abstractNumId w:val="34"/>
  </w:num>
  <w:num w:numId="35">
    <w:abstractNumId w:val="5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4093"/>
    <w:rsid w:val="000054F0"/>
    <w:rsid w:val="00005C4E"/>
    <w:rsid w:val="00044362"/>
    <w:rsid w:val="00084148"/>
    <w:rsid w:val="000902D9"/>
    <w:rsid w:val="000A4BA2"/>
    <w:rsid w:val="000B1B59"/>
    <w:rsid w:val="000E2B29"/>
    <w:rsid w:val="000F485F"/>
    <w:rsid w:val="00114490"/>
    <w:rsid w:val="00135EA2"/>
    <w:rsid w:val="00141D87"/>
    <w:rsid w:val="0014535E"/>
    <w:rsid w:val="00157D3B"/>
    <w:rsid w:val="00182432"/>
    <w:rsid w:val="00192EA2"/>
    <w:rsid w:val="00194494"/>
    <w:rsid w:val="001C4578"/>
    <w:rsid w:val="001D03A1"/>
    <w:rsid w:val="001D04FC"/>
    <w:rsid w:val="001F48F8"/>
    <w:rsid w:val="00200430"/>
    <w:rsid w:val="00215A9C"/>
    <w:rsid w:val="0022600B"/>
    <w:rsid w:val="00227BE1"/>
    <w:rsid w:val="00255F4A"/>
    <w:rsid w:val="00263764"/>
    <w:rsid w:val="002755C2"/>
    <w:rsid w:val="00277A91"/>
    <w:rsid w:val="00296B6F"/>
    <w:rsid w:val="002D4363"/>
    <w:rsid w:val="002D45A1"/>
    <w:rsid w:val="002E4DA3"/>
    <w:rsid w:val="002F20CF"/>
    <w:rsid w:val="003256CA"/>
    <w:rsid w:val="00331B5B"/>
    <w:rsid w:val="00331CDE"/>
    <w:rsid w:val="00343A6D"/>
    <w:rsid w:val="003469EC"/>
    <w:rsid w:val="003718CC"/>
    <w:rsid w:val="00373A48"/>
    <w:rsid w:val="003804F5"/>
    <w:rsid w:val="003860A8"/>
    <w:rsid w:val="00386DC0"/>
    <w:rsid w:val="003951E6"/>
    <w:rsid w:val="003C4588"/>
    <w:rsid w:val="00430DB9"/>
    <w:rsid w:val="004435BE"/>
    <w:rsid w:val="004B3673"/>
    <w:rsid w:val="004C4093"/>
    <w:rsid w:val="004E5651"/>
    <w:rsid w:val="004F4D61"/>
    <w:rsid w:val="0051409B"/>
    <w:rsid w:val="00526F9D"/>
    <w:rsid w:val="005A3EA8"/>
    <w:rsid w:val="005F0920"/>
    <w:rsid w:val="005F6BB0"/>
    <w:rsid w:val="00604BCF"/>
    <w:rsid w:val="006154EF"/>
    <w:rsid w:val="00620EA9"/>
    <w:rsid w:val="006272E2"/>
    <w:rsid w:val="006447DB"/>
    <w:rsid w:val="00695729"/>
    <w:rsid w:val="006B2D0B"/>
    <w:rsid w:val="006B7BC6"/>
    <w:rsid w:val="006C6390"/>
    <w:rsid w:val="006D6123"/>
    <w:rsid w:val="00703B0A"/>
    <w:rsid w:val="00704F0D"/>
    <w:rsid w:val="007520D2"/>
    <w:rsid w:val="00753192"/>
    <w:rsid w:val="0075373D"/>
    <w:rsid w:val="00770548"/>
    <w:rsid w:val="0077233D"/>
    <w:rsid w:val="007735F5"/>
    <w:rsid w:val="007764CB"/>
    <w:rsid w:val="007A042E"/>
    <w:rsid w:val="007B473B"/>
    <w:rsid w:val="007C0E8B"/>
    <w:rsid w:val="007C7509"/>
    <w:rsid w:val="007D672E"/>
    <w:rsid w:val="00805D48"/>
    <w:rsid w:val="00807DF8"/>
    <w:rsid w:val="00815C34"/>
    <w:rsid w:val="008303E1"/>
    <w:rsid w:val="00850420"/>
    <w:rsid w:val="0087702C"/>
    <w:rsid w:val="00894F1C"/>
    <w:rsid w:val="00895B4F"/>
    <w:rsid w:val="008A63B4"/>
    <w:rsid w:val="008C7FD2"/>
    <w:rsid w:val="008F1CEC"/>
    <w:rsid w:val="008F4C11"/>
    <w:rsid w:val="00942895"/>
    <w:rsid w:val="00963D10"/>
    <w:rsid w:val="00970BF1"/>
    <w:rsid w:val="009830A6"/>
    <w:rsid w:val="009B1DF8"/>
    <w:rsid w:val="009F106C"/>
    <w:rsid w:val="00A11C87"/>
    <w:rsid w:val="00A1680B"/>
    <w:rsid w:val="00A1714E"/>
    <w:rsid w:val="00A2550D"/>
    <w:rsid w:val="00A34E76"/>
    <w:rsid w:val="00A55603"/>
    <w:rsid w:val="00A903F7"/>
    <w:rsid w:val="00A91030"/>
    <w:rsid w:val="00AA0479"/>
    <w:rsid w:val="00AA44EA"/>
    <w:rsid w:val="00AB5D13"/>
    <w:rsid w:val="00AD1EF7"/>
    <w:rsid w:val="00AE0929"/>
    <w:rsid w:val="00AE47BC"/>
    <w:rsid w:val="00AF430E"/>
    <w:rsid w:val="00B15BB2"/>
    <w:rsid w:val="00B33618"/>
    <w:rsid w:val="00B42855"/>
    <w:rsid w:val="00B94431"/>
    <w:rsid w:val="00BD4424"/>
    <w:rsid w:val="00BF4223"/>
    <w:rsid w:val="00C303B4"/>
    <w:rsid w:val="00C31491"/>
    <w:rsid w:val="00C44B69"/>
    <w:rsid w:val="00C51D34"/>
    <w:rsid w:val="00C73B67"/>
    <w:rsid w:val="00C8245D"/>
    <w:rsid w:val="00CD1F5D"/>
    <w:rsid w:val="00D33A74"/>
    <w:rsid w:val="00D40AFC"/>
    <w:rsid w:val="00D51CFA"/>
    <w:rsid w:val="00DD71A9"/>
    <w:rsid w:val="00DF1B9B"/>
    <w:rsid w:val="00DF72D4"/>
    <w:rsid w:val="00E6354A"/>
    <w:rsid w:val="00E73CAC"/>
    <w:rsid w:val="00E8721B"/>
    <w:rsid w:val="00EB0C2C"/>
    <w:rsid w:val="00EE4D48"/>
    <w:rsid w:val="00EF4C11"/>
    <w:rsid w:val="00F265EF"/>
    <w:rsid w:val="00F3179A"/>
    <w:rsid w:val="00F41AC0"/>
    <w:rsid w:val="00F41CCF"/>
    <w:rsid w:val="00F44C35"/>
    <w:rsid w:val="00F60903"/>
    <w:rsid w:val="00F74D63"/>
    <w:rsid w:val="00FF2C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30256F-DD7D-44E1-B85A-9C9FA81E9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420"/>
    <w:pPr>
      <w:spacing w:after="0"/>
      <w:ind w:firstLine="567"/>
      <w:jc w:val="both"/>
    </w:pPr>
    <w:rPr>
      <w:rFonts w:ascii="Times New Roman" w:eastAsiaTheme="minorEastAsia" w:hAnsi="Times New Roman"/>
      <w:sz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4C4093"/>
    <w:pPr>
      <w:spacing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semiHidden/>
    <w:rsid w:val="004C409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C409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nhideWhenUsed/>
    <w:rsid w:val="004C4093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rsid w:val="004C4093"/>
    <w:rPr>
      <w:rFonts w:eastAsiaTheme="minorEastAsia"/>
      <w:lang w:eastAsia="ru-RU"/>
    </w:rPr>
  </w:style>
  <w:style w:type="paragraph" w:styleId="a8">
    <w:name w:val="footer"/>
    <w:basedOn w:val="a"/>
    <w:link w:val="a9"/>
    <w:unhideWhenUsed/>
    <w:rsid w:val="004C4093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rsid w:val="004C4093"/>
    <w:rPr>
      <w:rFonts w:eastAsiaTheme="minorEastAsia"/>
      <w:lang w:eastAsia="ru-RU"/>
    </w:rPr>
  </w:style>
  <w:style w:type="table" w:styleId="aa">
    <w:name w:val="Table Grid"/>
    <w:basedOn w:val="a1"/>
    <w:rsid w:val="00895B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rsid w:val="00895B4F"/>
  </w:style>
  <w:style w:type="paragraph" w:styleId="ac">
    <w:name w:val="List Paragraph"/>
    <w:basedOn w:val="a"/>
    <w:uiPriority w:val="34"/>
    <w:qFormat/>
    <w:rsid w:val="00895B4F"/>
    <w:pPr>
      <w:ind w:left="720"/>
      <w:contextualSpacing/>
    </w:pPr>
    <w:rPr>
      <w:rFonts w:ascii="Calibri" w:eastAsia="Times New Roman" w:hAnsi="Calibri" w:cs="Times New Roman"/>
    </w:rPr>
  </w:style>
  <w:style w:type="paragraph" w:styleId="ad">
    <w:name w:val="Normal (Web)"/>
    <w:basedOn w:val="a"/>
    <w:uiPriority w:val="99"/>
    <w:unhideWhenUsed/>
    <w:rsid w:val="00895B4F"/>
    <w:pPr>
      <w:spacing w:line="240" w:lineRule="auto"/>
    </w:pPr>
    <w:rPr>
      <w:rFonts w:eastAsia="Times New Roman" w:cs="Times New Roman"/>
      <w:szCs w:val="24"/>
    </w:rPr>
  </w:style>
  <w:style w:type="paragraph" w:customStyle="1" w:styleId="tt">
    <w:name w:val="tt"/>
    <w:basedOn w:val="a"/>
    <w:rsid w:val="00895B4F"/>
    <w:pPr>
      <w:spacing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pb">
    <w:name w:val="pb"/>
    <w:basedOn w:val="a"/>
    <w:rsid w:val="00895B4F"/>
    <w:pPr>
      <w:spacing w:line="240" w:lineRule="auto"/>
      <w:jc w:val="center"/>
    </w:pPr>
    <w:rPr>
      <w:rFonts w:eastAsia="Times New Roman" w:cs="Times New Roman"/>
      <w:i/>
      <w:iCs/>
      <w:color w:val="663300"/>
      <w:sz w:val="20"/>
      <w:szCs w:val="20"/>
    </w:rPr>
  </w:style>
  <w:style w:type="paragraph" w:customStyle="1" w:styleId="cn">
    <w:name w:val="cn"/>
    <w:basedOn w:val="a"/>
    <w:rsid w:val="00895B4F"/>
    <w:pPr>
      <w:spacing w:line="240" w:lineRule="auto"/>
      <w:jc w:val="center"/>
    </w:pPr>
    <w:rPr>
      <w:rFonts w:eastAsia="Times New Roman" w:cs="Times New Roman"/>
      <w:szCs w:val="24"/>
    </w:rPr>
  </w:style>
  <w:style w:type="character" w:styleId="ae">
    <w:name w:val="Emphasis"/>
    <w:basedOn w:val="a0"/>
    <w:uiPriority w:val="20"/>
    <w:qFormat/>
    <w:rsid w:val="00850420"/>
    <w:rPr>
      <w:rFonts w:ascii="Times New Roman" w:hAnsi="Times New Roman"/>
      <w:i w:val="0"/>
      <w:iCs/>
      <w:sz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7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raport%206%20luni%202016\diagrame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raport%206%20luni%202016\diagrame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raport%206%20luni%202016\diagrame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raport%206%20luni%202016\diagrame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raport%206%20luni%202016\diagrame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raport%206%20luni%202016\diagrame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8028400760249796"/>
          <c:y val="3.9326635894651102E-2"/>
          <c:w val="0.73646559698986525"/>
          <c:h val="0.6382087596083596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Лист1!$B$2</c:f>
              <c:strCache>
                <c:ptCount val="1"/>
                <c:pt idx="0">
                  <c:v>Cauze pendinte la începutul perioadei raportate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dLbl>
              <c:idx val="0"/>
              <c:layout>
                <c:manualLayout>
                  <c:x val="5.0125313283207783E-3"/>
                  <c:y val="-2.88288288288288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/>
                </a:pPr>
                <a:endParaRPr lang="ro-R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Лист1!$A$3:$A$4</c:f>
              <c:strCache>
                <c:ptCount val="2"/>
                <c:pt idx="0">
                  <c:v>6 luni 2015</c:v>
                </c:pt>
                <c:pt idx="1">
                  <c:v>6 luni 2016</c:v>
                </c:pt>
              </c:strCache>
            </c:strRef>
          </c:cat>
          <c:val>
            <c:numRef>
              <c:f>Лист1!$B$3:$B$4</c:f>
              <c:numCache>
                <c:formatCode>General</c:formatCode>
                <c:ptCount val="2"/>
                <c:pt idx="0">
                  <c:v>295</c:v>
                </c:pt>
                <c:pt idx="1">
                  <c:v>362</c:v>
                </c:pt>
              </c:numCache>
            </c:numRef>
          </c:val>
        </c:ser>
        <c:ser>
          <c:idx val="1"/>
          <c:order val="1"/>
          <c:tx>
            <c:strRef>
              <c:f>Лист1!$C$2</c:f>
              <c:strCache>
                <c:ptCount val="1"/>
                <c:pt idx="0">
                  <c:v>Cauze noi înregistrate 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1"/>
              <c:layout>
                <c:manualLayout>
                  <c:x val="7.5187969924812043E-3"/>
                  <c:y val="-1.80180180180180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/>
                </a:pPr>
                <a:endParaRPr lang="ro-R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Лист1!$A$3:$A$4</c:f>
              <c:strCache>
                <c:ptCount val="2"/>
                <c:pt idx="0">
                  <c:v>6 luni 2015</c:v>
                </c:pt>
                <c:pt idx="1">
                  <c:v>6 luni 2016</c:v>
                </c:pt>
              </c:strCache>
            </c:strRef>
          </c:cat>
          <c:val>
            <c:numRef>
              <c:f>Лист1!$C$3:$C$4</c:f>
              <c:numCache>
                <c:formatCode>General</c:formatCode>
                <c:ptCount val="2"/>
                <c:pt idx="0">
                  <c:v>881</c:v>
                </c:pt>
                <c:pt idx="1">
                  <c:v>749</c:v>
                </c:pt>
              </c:numCache>
            </c:numRef>
          </c:val>
        </c:ser>
        <c:ser>
          <c:idx val="2"/>
          <c:order val="2"/>
          <c:tx>
            <c:strRef>
              <c:f>Лист1!$D$2</c:f>
              <c:strCache>
                <c:ptCount val="1"/>
                <c:pt idx="0">
                  <c:v>Cauze soluționate 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dLbl>
              <c:idx val="0"/>
              <c:layout>
                <c:manualLayout>
                  <c:x val="1.5037593984962405E-2"/>
                  <c:y val="-1.08108108108108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2531328320802006E-2"/>
                  <c:y val="-1.08108108108108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/>
                </a:pPr>
                <a:endParaRPr lang="ro-R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Лист1!$A$3:$A$4</c:f>
              <c:strCache>
                <c:ptCount val="2"/>
                <c:pt idx="0">
                  <c:v>6 luni 2015</c:v>
                </c:pt>
                <c:pt idx="1">
                  <c:v>6 luni 2016</c:v>
                </c:pt>
              </c:strCache>
            </c:strRef>
          </c:cat>
          <c:val>
            <c:numRef>
              <c:f>Лист1!$D$3:$D$4</c:f>
              <c:numCache>
                <c:formatCode>General</c:formatCode>
                <c:ptCount val="2"/>
                <c:pt idx="0">
                  <c:v>725</c:v>
                </c:pt>
                <c:pt idx="1">
                  <c:v>752</c:v>
                </c:pt>
              </c:numCache>
            </c:numRef>
          </c:val>
        </c:ser>
        <c:ser>
          <c:idx val="3"/>
          <c:order val="3"/>
          <c:tx>
            <c:strRef>
              <c:f>Лист1!$E$2</c:f>
              <c:strCache>
                <c:ptCount val="1"/>
                <c:pt idx="0">
                  <c:v>Cauze pendinte la sfârșitul perioadei raportate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005012531328321E-2"/>
                  <c:y val="-1.08108108108108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9991770508938548E-2"/>
                  <c:y val="-1.83908521702451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/>
                </a:pPr>
                <a:endParaRPr lang="ro-R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Лист1!$A$3:$A$4</c:f>
              <c:strCache>
                <c:ptCount val="2"/>
                <c:pt idx="0">
                  <c:v>6 luni 2015</c:v>
                </c:pt>
                <c:pt idx="1">
                  <c:v>6 luni 2016</c:v>
                </c:pt>
              </c:strCache>
            </c:strRef>
          </c:cat>
          <c:val>
            <c:numRef>
              <c:f>Лист1!$E$3:$E$4</c:f>
              <c:numCache>
                <c:formatCode>General</c:formatCode>
                <c:ptCount val="2"/>
                <c:pt idx="0">
                  <c:v>451</c:v>
                </c:pt>
                <c:pt idx="1">
                  <c:v>359</c:v>
                </c:pt>
              </c:numCache>
            </c:numRef>
          </c:val>
        </c:ser>
        <c:ser>
          <c:idx val="4"/>
          <c:order val="4"/>
          <c:tx>
            <c:strRef>
              <c:f>Лист1!$F$2</c:f>
              <c:strCache>
                <c:ptCount val="1"/>
                <c:pt idx="0">
                  <c:v>Rata de variaţie a stocului de cauze pendinte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1891754909946602E-2"/>
                  <c:y val="-2.668522038193501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800"/>
                  </a:pPr>
                  <a:endParaRPr lang="ro-RO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3593447370802705E-2"/>
                  <c:y val="-7.9839804507195224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800"/>
                  </a:pPr>
                  <a:endParaRPr lang="ro-RO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/>
                </a:pPr>
                <a:endParaRPr lang="ro-R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Лист1!$A$3:$A$4</c:f>
              <c:strCache>
                <c:ptCount val="2"/>
                <c:pt idx="0">
                  <c:v>6 luni 2015</c:v>
                </c:pt>
                <c:pt idx="1">
                  <c:v>6 luni 2016</c:v>
                </c:pt>
              </c:strCache>
            </c:strRef>
          </c:cat>
          <c:val>
            <c:numRef>
              <c:f>Лист1!$F$3:$F$4</c:f>
              <c:numCache>
                <c:formatCode>0.00%</c:formatCode>
                <c:ptCount val="2"/>
                <c:pt idx="0">
                  <c:v>0.82292849035187288</c:v>
                </c:pt>
                <c:pt idx="1">
                  <c:v>1.0040053404539386</c:v>
                </c:pt>
              </c:numCache>
            </c:numRef>
          </c:val>
        </c:ser>
        <c:ser>
          <c:idx val="5"/>
          <c:order val="5"/>
          <c:tx>
            <c:strRef>
              <c:f>Лист1!$G$2</c:f>
              <c:strCache>
                <c:ptCount val="1"/>
                <c:pt idx="0">
                  <c:v>Durata lichidării stocului de cauze pendinte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3793103448275779E-2"/>
                  <c:y val="-4.59770114942529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8390804597701149E-2"/>
                  <c:y val="-5.74712643678160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Лист1!$A$3:$A$4</c:f>
              <c:strCache>
                <c:ptCount val="2"/>
                <c:pt idx="0">
                  <c:v>6 luni 2015</c:v>
                </c:pt>
                <c:pt idx="1">
                  <c:v>6 luni 2016</c:v>
                </c:pt>
              </c:strCache>
            </c:strRef>
          </c:cat>
          <c:val>
            <c:numRef>
              <c:f>Лист1!$G$3:$G$4</c:f>
              <c:numCache>
                <c:formatCode>0</c:formatCode>
                <c:ptCount val="2"/>
                <c:pt idx="0">
                  <c:v>113.83862068965519</c:v>
                </c:pt>
                <c:pt idx="1">
                  <c:v>87.363031914893625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327452720"/>
        <c:axId val="327458992"/>
        <c:axId val="0"/>
      </c:bar3DChart>
      <c:catAx>
        <c:axId val="327452720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327458992"/>
        <c:crosses val="autoZero"/>
        <c:auto val="1"/>
        <c:lblAlgn val="ctr"/>
        <c:lblOffset val="100"/>
        <c:noMultiLvlLbl val="0"/>
      </c:catAx>
      <c:valAx>
        <c:axId val="3274589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2745272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8.6299076392541779E-2"/>
          <c:y val="0.76963642287104028"/>
          <c:w val="0.8780369111934937"/>
          <c:h val="0.19660303360488468"/>
        </c:manualLayout>
      </c:layout>
      <c:overlay val="0"/>
      <c:txPr>
        <a:bodyPr/>
        <a:lstStyle/>
        <a:p>
          <a:pPr>
            <a:defRPr sz="900">
              <a:latin typeface="Times New Roman" pitchFamily="18" charset="0"/>
              <a:cs typeface="Times New Roman" pitchFamily="18" charset="0"/>
            </a:defRPr>
          </a:pPr>
          <a:endParaRPr lang="ro-RO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660580020218888"/>
          <c:y val="6.8062053740608711E-2"/>
          <c:w val="0.73646559698986525"/>
          <c:h val="0.6382087596083596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Лист1!$B$16</c:f>
              <c:strCache>
                <c:ptCount val="1"/>
                <c:pt idx="0">
                  <c:v>Cauze pendinte la începutul perioadei raportate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dLbl>
              <c:idx val="0"/>
              <c:layout>
                <c:manualLayout>
                  <c:x val="5.0125070916499049E-3"/>
                  <c:y val="-7.702117366960487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576162708236629E-3"/>
                  <c:y val="8.4387259134162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Лист1!$A$3:$A$4</c:f>
              <c:strCache>
                <c:ptCount val="2"/>
                <c:pt idx="0">
                  <c:v>6 luni 2015</c:v>
                </c:pt>
                <c:pt idx="1">
                  <c:v>6 luni 2016</c:v>
                </c:pt>
              </c:strCache>
            </c:strRef>
          </c:cat>
          <c:val>
            <c:numRef>
              <c:f>Лист1!$B$31:$B$32</c:f>
              <c:numCache>
                <c:formatCode>General</c:formatCode>
                <c:ptCount val="2"/>
                <c:pt idx="0">
                  <c:v>75</c:v>
                </c:pt>
                <c:pt idx="1">
                  <c:v>77</c:v>
                </c:pt>
              </c:numCache>
            </c:numRef>
          </c:val>
        </c:ser>
        <c:ser>
          <c:idx val="1"/>
          <c:order val="1"/>
          <c:tx>
            <c:strRef>
              <c:f>Лист1!$C$16</c:f>
              <c:strCache>
                <c:ptCount val="1"/>
                <c:pt idx="0">
                  <c:v>Cauze noi înregistrate 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1"/>
              <c:layout>
                <c:manualLayout>
                  <c:x val="7.5187969924812113E-3"/>
                  <c:y val="-1.80180180180180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Лист1!$A$3:$A$4</c:f>
              <c:strCache>
                <c:ptCount val="2"/>
                <c:pt idx="0">
                  <c:v>6 luni 2015</c:v>
                </c:pt>
                <c:pt idx="1">
                  <c:v>6 luni 2016</c:v>
                </c:pt>
              </c:strCache>
            </c:strRef>
          </c:cat>
          <c:val>
            <c:numRef>
              <c:f>Лист1!$C$31:$C$32</c:f>
              <c:numCache>
                <c:formatCode>General</c:formatCode>
                <c:ptCount val="2"/>
                <c:pt idx="0">
                  <c:v>101</c:v>
                </c:pt>
                <c:pt idx="1">
                  <c:v>120</c:v>
                </c:pt>
              </c:numCache>
            </c:numRef>
          </c:val>
        </c:ser>
        <c:ser>
          <c:idx val="2"/>
          <c:order val="2"/>
          <c:tx>
            <c:strRef>
              <c:f>Лист1!$D$16</c:f>
              <c:strCache>
                <c:ptCount val="1"/>
                <c:pt idx="0">
                  <c:v>Cauze soluționate 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dLbl>
              <c:idx val="0"/>
              <c:layout>
                <c:manualLayout>
                  <c:x val="1.5037593984962405E-2"/>
                  <c:y val="-1.08108108108108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2531328320802015E-2"/>
                  <c:y val="-1.08108108108108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Лист1!$A$3:$A$4</c:f>
              <c:strCache>
                <c:ptCount val="2"/>
                <c:pt idx="0">
                  <c:v>6 luni 2015</c:v>
                </c:pt>
                <c:pt idx="1">
                  <c:v>6 luni 2016</c:v>
                </c:pt>
              </c:strCache>
            </c:strRef>
          </c:cat>
          <c:val>
            <c:numRef>
              <c:f>Лист1!$D$31:$D$32</c:f>
              <c:numCache>
                <c:formatCode>General</c:formatCode>
                <c:ptCount val="2"/>
                <c:pt idx="0">
                  <c:v>96</c:v>
                </c:pt>
                <c:pt idx="1">
                  <c:v>129</c:v>
                </c:pt>
              </c:numCache>
            </c:numRef>
          </c:val>
        </c:ser>
        <c:ser>
          <c:idx val="3"/>
          <c:order val="3"/>
          <c:tx>
            <c:strRef>
              <c:f>Лист1!$E$16</c:f>
              <c:strCache>
                <c:ptCount val="1"/>
                <c:pt idx="0">
                  <c:v>Cauze pendinte la sfârșitul perioadei raportate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005012531328321E-2"/>
                  <c:y val="-1.08108108108108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4534502784946415E-2"/>
                  <c:y val="-9.934244477368453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Лист1!$A$3:$A$4</c:f>
              <c:strCache>
                <c:ptCount val="2"/>
                <c:pt idx="0">
                  <c:v>6 luni 2015</c:v>
                </c:pt>
                <c:pt idx="1">
                  <c:v>6 luni 2016</c:v>
                </c:pt>
              </c:strCache>
            </c:strRef>
          </c:cat>
          <c:val>
            <c:numRef>
              <c:f>Лист1!$E$31:$E$32</c:f>
              <c:numCache>
                <c:formatCode>General</c:formatCode>
                <c:ptCount val="2"/>
                <c:pt idx="0">
                  <c:v>80</c:v>
                </c:pt>
                <c:pt idx="1">
                  <c:v>68</c:v>
                </c:pt>
              </c:numCache>
            </c:numRef>
          </c:val>
        </c:ser>
        <c:ser>
          <c:idx val="4"/>
          <c:order val="4"/>
          <c:tx>
            <c:strRef>
              <c:f>Лист1!$F$16</c:f>
              <c:strCache>
                <c:ptCount val="1"/>
                <c:pt idx="0">
                  <c:v>Rata de variaţie a stocului de cauze pendinte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2581453634085211E-2"/>
                  <c:y val="-3.24324324324324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5087719298245612E-2"/>
                  <c:y val="-2.52252252252252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Лист1!$A$3:$A$4</c:f>
              <c:strCache>
                <c:ptCount val="2"/>
                <c:pt idx="0">
                  <c:v>6 luni 2015</c:v>
                </c:pt>
                <c:pt idx="1">
                  <c:v>6 luni 2016</c:v>
                </c:pt>
              </c:strCache>
            </c:strRef>
          </c:cat>
          <c:val>
            <c:numRef>
              <c:f>Лист1!$F$31:$F$32</c:f>
              <c:numCache>
                <c:formatCode>0.00%</c:formatCode>
                <c:ptCount val="2"/>
                <c:pt idx="0">
                  <c:v>0.95049504950495045</c:v>
                </c:pt>
                <c:pt idx="1">
                  <c:v>1.075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327451544"/>
        <c:axId val="327454288"/>
        <c:axId val="0"/>
      </c:bar3DChart>
      <c:catAx>
        <c:axId val="327451544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327454288"/>
        <c:crosses val="autoZero"/>
        <c:auto val="1"/>
        <c:lblAlgn val="ctr"/>
        <c:lblOffset val="100"/>
        <c:noMultiLvlLbl val="0"/>
      </c:catAx>
      <c:valAx>
        <c:axId val="3274542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2745154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"/>
          <c:y val="0.80339702082116748"/>
          <c:w val="1"/>
          <c:h val="0.13831023919244737"/>
        </c:manualLayout>
      </c:layout>
      <c:overlay val="0"/>
      <c:txPr>
        <a:bodyPr/>
        <a:lstStyle/>
        <a:p>
          <a:pPr>
            <a:defRPr sz="900">
              <a:latin typeface="Times New Roman" pitchFamily="18" charset="0"/>
              <a:cs typeface="Times New Roman" pitchFamily="18" charset="0"/>
            </a:defRPr>
          </a:pPr>
          <a:endParaRPr lang="ro-RO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660580020218888"/>
          <c:y val="6.8062053740608724E-2"/>
          <c:w val="0.73646559698986525"/>
          <c:h val="0.6382087596083596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Лист1!$B$45</c:f>
              <c:strCache>
                <c:ptCount val="1"/>
                <c:pt idx="0">
                  <c:v>Cauze pendinte la începutul perioadei raportate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dLbl>
              <c:idx val="0"/>
              <c:layout>
                <c:manualLayout>
                  <c:x val="5.0125070916499067E-3"/>
                  <c:y val="-7.702117366960487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5761627082366298E-3"/>
                  <c:y val="8.4387259134162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Лист1!$A$3:$A$4</c:f>
              <c:strCache>
                <c:ptCount val="2"/>
                <c:pt idx="0">
                  <c:v>6 luni 2015</c:v>
                </c:pt>
                <c:pt idx="1">
                  <c:v>6 luni 2016</c:v>
                </c:pt>
              </c:strCache>
            </c:strRef>
          </c:cat>
          <c:val>
            <c:numRef>
              <c:f>Лист1!$B$46:$B$47</c:f>
              <c:numCache>
                <c:formatCode>General</c:formatCode>
                <c:ptCount val="2"/>
                <c:pt idx="0">
                  <c:v>24</c:v>
                </c:pt>
                <c:pt idx="1">
                  <c:v>22</c:v>
                </c:pt>
              </c:numCache>
            </c:numRef>
          </c:val>
        </c:ser>
        <c:ser>
          <c:idx val="1"/>
          <c:order val="1"/>
          <c:tx>
            <c:strRef>
              <c:f>Лист1!$C$45</c:f>
              <c:strCache>
                <c:ptCount val="1"/>
                <c:pt idx="0">
                  <c:v>Cauze noi înregistrate 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1"/>
              <c:layout>
                <c:manualLayout>
                  <c:x val="7.518796992481213E-3"/>
                  <c:y val="-1.80180180180180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Лист1!$A$3:$A$4</c:f>
              <c:strCache>
                <c:ptCount val="2"/>
                <c:pt idx="0">
                  <c:v>6 luni 2015</c:v>
                </c:pt>
                <c:pt idx="1">
                  <c:v>6 luni 2016</c:v>
                </c:pt>
              </c:strCache>
            </c:strRef>
          </c:cat>
          <c:val>
            <c:numRef>
              <c:f>Лист1!$C$46:$C$47</c:f>
              <c:numCache>
                <c:formatCode>General</c:formatCode>
                <c:ptCount val="2"/>
                <c:pt idx="0">
                  <c:v>131</c:v>
                </c:pt>
                <c:pt idx="1">
                  <c:v>139</c:v>
                </c:pt>
              </c:numCache>
            </c:numRef>
          </c:val>
        </c:ser>
        <c:ser>
          <c:idx val="2"/>
          <c:order val="2"/>
          <c:tx>
            <c:strRef>
              <c:f>Лист1!$D$45</c:f>
              <c:strCache>
                <c:ptCount val="1"/>
                <c:pt idx="0">
                  <c:v>Cauze soluționate 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dLbl>
              <c:idx val="0"/>
              <c:layout>
                <c:manualLayout>
                  <c:x val="1.5037593984962405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2531328320802018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Лист1!$A$3:$A$4</c:f>
              <c:strCache>
                <c:ptCount val="2"/>
                <c:pt idx="0">
                  <c:v>6 luni 2015</c:v>
                </c:pt>
                <c:pt idx="1">
                  <c:v>6 luni 2016</c:v>
                </c:pt>
              </c:strCache>
            </c:strRef>
          </c:cat>
          <c:val>
            <c:numRef>
              <c:f>Лист1!$D$46:$D$47</c:f>
              <c:numCache>
                <c:formatCode>General</c:formatCode>
                <c:ptCount val="2"/>
                <c:pt idx="0">
                  <c:v>126</c:v>
                </c:pt>
                <c:pt idx="1">
                  <c:v>137</c:v>
                </c:pt>
              </c:numCache>
            </c:numRef>
          </c:val>
        </c:ser>
        <c:ser>
          <c:idx val="3"/>
          <c:order val="3"/>
          <c:tx>
            <c:strRef>
              <c:f>Лист1!$E$45</c:f>
              <c:strCache>
                <c:ptCount val="1"/>
                <c:pt idx="0">
                  <c:v>Cauze pendinte la sfârșitul perioadei raportate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005012531328321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4534502784946415E-2"/>
                  <c:y val="-9.934244477368459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Лист1!$A$3:$A$4</c:f>
              <c:strCache>
                <c:ptCount val="2"/>
                <c:pt idx="0">
                  <c:v>6 luni 2015</c:v>
                </c:pt>
                <c:pt idx="1">
                  <c:v>6 luni 2016</c:v>
                </c:pt>
              </c:strCache>
            </c:strRef>
          </c:cat>
          <c:val>
            <c:numRef>
              <c:f>Лист1!$E$46:$E$47</c:f>
              <c:numCache>
                <c:formatCode>General</c:formatCode>
                <c:ptCount val="2"/>
                <c:pt idx="0">
                  <c:v>29</c:v>
                </c:pt>
                <c:pt idx="1">
                  <c:v>24</c:v>
                </c:pt>
              </c:numCache>
            </c:numRef>
          </c:val>
        </c:ser>
        <c:ser>
          <c:idx val="4"/>
          <c:order val="4"/>
          <c:tx>
            <c:strRef>
              <c:f>Лист1!$F$45</c:f>
              <c:strCache>
                <c:ptCount val="1"/>
                <c:pt idx="0">
                  <c:v>Rata de variaţie a stocului de cauze pendinte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2581453634085211E-2"/>
                  <c:y val="-3.24324324324324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5087719298245612E-2"/>
                  <c:y val="-2.52252252252252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Лист1!$A$3:$A$4</c:f>
              <c:strCache>
                <c:ptCount val="2"/>
                <c:pt idx="0">
                  <c:v>6 luni 2015</c:v>
                </c:pt>
                <c:pt idx="1">
                  <c:v>6 luni 2016</c:v>
                </c:pt>
              </c:strCache>
            </c:strRef>
          </c:cat>
          <c:val>
            <c:numRef>
              <c:f>Лист1!$F$46:$F$47</c:f>
              <c:numCache>
                <c:formatCode>0.00%</c:formatCode>
                <c:ptCount val="2"/>
                <c:pt idx="0">
                  <c:v>0.96183206106870234</c:v>
                </c:pt>
                <c:pt idx="1">
                  <c:v>0.98561151079136688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414007968"/>
        <c:axId val="414006400"/>
        <c:axId val="0"/>
      </c:bar3DChart>
      <c:catAx>
        <c:axId val="414007968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414006400"/>
        <c:crosses val="autoZero"/>
        <c:auto val="1"/>
        <c:lblAlgn val="ctr"/>
        <c:lblOffset val="100"/>
        <c:noMultiLvlLbl val="0"/>
      </c:catAx>
      <c:valAx>
        <c:axId val="4140064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1400796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"/>
          <c:y val="0.80339702082116748"/>
          <c:w val="1"/>
          <c:h val="0.1383102391924475"/>
        </c:manualLayout>
      </c:layout>
      <c:overlay val="0"/>
      <c:txPr>
        <a:bodyPr/>
        <a:lstStyle/>
        <a:p>
          <a:pPr>
            <a:defRPr sz="900">
              <a:latin typeface="Times New Roman" pitchFamily="18" charset="0"/>
              <a:cs typeface="Times New Roman" pitchFamily="18" charset="0"/>
            </a:defRPr>
          </a:pPr>
          <a:endParaRPr lang="ro-RO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660580020218888"/>
          <c:y val="6.8062053740608724E-2"/>
          <c:w val="0.73646559698986525"/>
          <c:h val="0.6382087596083596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Лист1!$B$45</c:f>
              <c:strCache>
                <c:ptCount val="1"/>
                <c:pt idx="0">
                  <c:v>Cauze pendinte la începutul perioadei raportate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dLbl>
              <c:idx val="0"/>
              <c:layout>
                <c:manualLayout>
                  <c:x val="5.0125070916499084E-3"/>
                  <c:y val="-7.702117366960487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5761627082366311E-3"/>
                  <c:y val="8.4387259134162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Лист1!$A$3:$A$4</c:f>
              <c:strCache>
                <c:ptCount val="2"/>
                <c:pt idx="0">
                  <c:v>6 luni 2015</c:v>
                </c:pt>
                <c:pt idx="1">
                  <c:v>6 luni 2016</c:v>
                </c:pt>
              </c:strCache>
            </c:strRef>
          </c:cat>
          <c:val>
            <c:numRef>
              <c:f>Лист1!$B$61:$B$62</c:f>
              <c:numCache>
                <c:formatCode>General</c:formatCode>
                <c:ptCount val="2"/>
                <c:pt idx="0">
                  <c:v>38</c:v>
                </c:pt>
                <c:pt idx="1">
                  <c:v>32</c:v>
                </c:pt>
              </c:numCache>
            </c:numRef>
          </c:val>
        </c:ser>
        <c:ser>
          <c:idx val="1"/>
          <c:order val="1"/>
          <c:tx>
            <c:strRef>
              <c:f>Лист1!$C$45</c:f>
              <c:strCache>
                <c:ptCount val="1"/>
                <c:pt idx="0">
                  <c:v>Cauze noi înregistrate 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1"/>
              <c:layout>
                <c:manualLayout>
                  <c:x val="7.5187969924812147E-3"/>
                  <c:y val="-1.80180180180180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Лист1!$A$3:$A$4</c:f>
              <c:strCache>
                <c:ptCount val="2"/>
                <c:pt idx="0">
                  <c:v>6 luni 2015</c:v>
                </c:pt>
                <c:pt idx="1">
                  <c:v>6 luni 2016</c:v>
                </c:pt>
              </c:strCache>
            </c:strRef>
          </c:cat>
          <c:val>
            <c:numRef>
              <c:f>Лист1!$C$61:$C$62</c:f>
              <c:numCache>
                <c:formatCode>General</c:formatCode>
                <c:ptCount val="2"/>
                <c:pt idx="0">
                  <c:v>120</c:v>
                </c:pt>
                <c:pt idx="1">
                  <c:v>123</c:v>
                </c:pt>
              </c:numCache>
            </c:numRef>
          </c:val>
        </c:ser>
        <c:ser>
          <c:idx val="2"/>
          <c:order val="2"/>
          <c:tx>
            <c:strRef>
              <c:f>Лист1!$D$45</c:f>
              <c:strCache>
                <c:ptCount val="1"/>
                <c:pt idx="0">
                  <c:v>Cauze soluționate 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dLbl>
              <c:idx val="0"/>
              <c:layout>
                <c:manualLayout>
                  <c:x val="1.5037593984962405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2531328320802023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Лист1!$A$3:$A$4</c:f>
              <c:strCache>
                <c:ptCount val="2"/>
                <c:pt idx="0">
                  <c:v>6 luni 2015</c:v>
                </c:pt>
                <c:pt idx="1">
                  <c:v>6 luni 2016</c:v>
                </c:pt>
              </c:strCache>
            </c:strRef>
          </c:cat>
          <c:val>
            <c:numRef>
              <c:f>Лист1!$D$61:$D$62</c:f>
              <c:numCache>
                <c:formatCode>General</c:formatCode>
                <c:ptCount val="2"/>
                <c:pt idx="0">
                  <c:v>121</c:v>
                </c:pt>
                <c:pt idx="1">
                  <c:v>130</c:v>
                </c:pt>
              </c:numCache>
            </c:numRef>
          </c:val>
        </c:ser>
        <c:ser>
          <c:idx val="3"/>
          <c:order val="3"/>
          <c:tx>
            <c:strRef>
              <c:f>Лист1!$E$45</c:f>
              <c:strCache>
                <c:ptCount val="1"/>
                <c:pt idx="0">
                  <c:v>Cauze pendinte la sfârșitul perioadei raportate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005012531328321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4534502784946415E-2"/>
                  <c:y val="-9.934244477368462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Лист1!$A$3:$A$4</c:f>
              <c:strCache>
                <c:ptCount val="2"/>
                <c:pt idx="0">
                  <c:v>6 luni 2015</c:v>
                </c:pt>
                <c:pt idx="1">
                  <c:v>6 luni 2016</c:v>
                </c:pt>
              </c:strCache>
            </c:strRef>
          </c:cat>
          <c:val>
            <c:numRef>
              <c:f>Лист1!$E$61:$E$62</c:f>
              <c:numCache>
                <c:formatCode>General</c:formatCode>
                <c:ptCount val="2"/>
                <c:pt idx="0">
                  <c:v>37</c:v>
                </c:pt>
                <c:pt idx="1">
                  <c:v>25</c:v>
                </c:pt>
              </c:numCache>
            </c:numRef>
          </c:val>
        </c:ser>
        <c:ser>
          <c:idx val="4"/>
          <c:order val="4"/>
          <c:tx>
            <c:strRef>
              <c:f>Лист1!$F$45</c:f>
              <c:strCache>
                <c:ptCount val="1"/>
                <c:pt idx="0">
                  <c:v>Rata de variaţie a stocului de cauze pendinte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2581453634085211E-2"/>
                  <c:y val="-3.24324324324324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5087719298245612E-2"/>
                  <c:y val="-2.52252252252252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Лист1!$A$3:$A$4</c:f>
              <c:strCache>
                <c:ptCount val="2"/>
                <c:pt idx="0">
                  <c:v>6 luni 2015</c:v>
                </c:pt>
                <c:pt idx="1">
                  <c:v>6 luni 2016</c:v>
                </c:pt>
              </c:strCache>
            </c:strRef>
          </c:cat>
          <c:val>
            <c:numRef>
              <c:f>Лист1!$F$61:$F$62</c:f>
              <c:numCache>
                <c:formatCode>0.00%</c:formatCode>
                <c:ptCount val="2"/>
                <c:pt idx="0">
                  <c:v>1.0083333333333333</c:v>
                </c:pt>
                <c:pt idx="1">
                  <c:v>1.056910569105691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414007576"/>
        <c:axId val="413998560"/>
        <c:axId val="0"/>
      </c:bar3DChart>
      <c:catAx>
        <c:axId val="414007576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413998560"/>
        <c:crosses val="autoZero"/>
        <c:auto val="1"/>
        <c:lblAlgn val="ctr"/>
        <c:lblOffset val="100"/>
        <c:noMultiLvlLbl val="0"/>
      </c:catAx>
      <c:valAx>
        <c:axId val="4139985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1400757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"/>
          <c:y val="0.80339702082116748"/>
          <c:w val="1"/>
          <c:h val="0.13831023919244761"/>
        </c:manualLayout>
      </c:layout>
      <c:overlay val="0"/>
      <c:txPr>
        <a:bodyPr/>
        <a:lstStyle/>
        <a:p>
          <a:pPr>
            <a:defRPr sz="900">
              <a:latin typeface="Times New Roman" pitchFamily="18" charset="0"/>
              <a:cs typeface="Times New Roman" pitchFamily="18" charset="0"/>
            </a:defRPr>
          </a:pPr>
          <a:endParaRPr lang="ro-RO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660580020218888"/>
          <c:y val="6.8062053740608724E-2"/>
          <c:w val="0.73646559698986525"/>
          <c:h val="0.6382087596083596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Лист1!$B$76</c:f>
              <c:strCache>
                <c:ptCount val="1"/>
                <c:pt idx="0">
                  <c:v>Cauze pendinte la începutul perioadei raportate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dLbl>
              <c:idx val="0"/>
              <c:layout>
                <c:manualLayout>
                  <c:x val="5.0125070916499084E-3"/>
                  <c:y val="-7.702117366960487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576162708236632E-3"/>
                  <c:y val="8.4387259134162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Лист1!$A$3:$A$4</c:f>
              <c:strCache>
                <c:ptCount val="2"/>
                <c:pt idx="0">
                  <c:v>6 luni 2015</c:v>
                </c:pt>
                <c:pt idx="1">
                  <c:v>6 luni 2016</c:v>
                </c:pt>
              </c:strCache>
            </c:strRef>
          </c:cat>
          <c:val>
            <c:numRef>
              <c:f>Лист1!$B$77:$B$78</c:f>
              <c:numCache>
                <c:formatCode>General</c:formatCode>
                <c:ptCount val="2"/>
                <c:pt idx="0">
                  <c:v>165</c:v>
                </c:pt>
                <c:pt idx="1">
                  <c:v>231</c:v>
                </c:pt>
              </c:numCache>
            </c:numRef>
          </c:val>
        </c:ser>
        <c:ser>
          <c:idx val="1"/>
          <c:order val="1"/>
          <c:tx>
            <c:strRef>
              <c:f>Лист1!$C$76</c:f>
              <c:strCache>
                <c:ptCount val="1"/>
                <c:pt idx="0">
                  <c:v>Cauze noi înregistrate 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1"/>
              <c:layout>
                <c:manualLayout>
                  <c:x val="7.5187969924812182E-3"/>
                  <c:y val="-1.80180180180180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Лист1!$A$3:$A$4</c:f>
              <c:strCache>
                <c:ptCount val="2"/>
                <c:pt idx="0">
                  <c:v>6 luni 2015</c:v>
                </c:pt>
                <c:pt idx="1">
                  <c:v>6 luni 2016</c:v>
                </c:pt>
              </c:strCache>
            </c:strRef>
          </c:cat>
          <c:val>
            <c:numRef>
              <c:f>Лист1!$C$77:$C$78</c:f>
              <c:numCache>
                <c:formatCode>General</c:formatCode>
                <c:ptCount val="2"/>
                <c:pt idx="0">
                  <c:v>558</c:v>
                </c:pt>
                <c:pt idx="1">
                  <c:v>367</c:v>
                </c:pt>
              </c:numCache>
            </c:numRef>
          </c:val>
        </c:ser>
        <c:ser>
          <c:idx val="2"/>
          <c:order val="2"/>
          <c:tx>
            <c:strRef>
              <c:f>Лист1!$D$76</c:f>
              <c:strCache>
                <c:ptCount val="1"/>
                <c:pt idx="0">
                  <c:v>Cauze soluționate 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dLbl>
              <c:idx val="0"/>
              <c:layout>
                <c:manualLayout>
                  <c:x val="1.5037593984962405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2531328320802023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Лист1!$A$3:$A$4</c:f>
              <c:strCache>
                <c:ptCount val="2"/>
                <c:pt idx="0">
                  <c:v>6 luni 2015</c:v>
                </c:pt>
                <c:pt idx="1">
                  <c:v>6 luni 2016</c:v>
                </c:pt>
              </c:strCache>
            </c:strRef>
          </c:cat>
          <c:val>
            <c:numRef>
              <c:f>Лист1!$D$77:$D$78</c:f>
              <c:numCache>
                <c:formatCode>General</c:formatCode>
                <c:ptCount val="2"/>
                <c:pt idx="0">
                  <c:v>413</c:v>
                </c:pt>
                <c:pt idx="1">
                  <c:v>356</c:v>
                </c:pt>
              </c:numCache>
            </c:numRef>
          </c:val>
        </c:ser>
        <c:ser>
          <c:idx val="3"/>
          <c:order val="3"/>
          <c:tx>
            <c:strRef>
              <c:f>Лист1!$E$76</c:f>
              <c:strCache>
                <c:ptCount val="1"/>
                <c:pt idx="0">
                  <c:v>Cauze pendinte la sfârșitul perioadei raportate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005012531328321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4534502784946415E-2"/>
                  <c:y val="-9.93424447736846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Лист1!$A$3:$A$4</c:f>
              <c:strCache>
                <c:ptCount val="2"/>
                <c:pt idx="0">
                  <c:v>6 luni 2015</c:v>
                </c:pt>
                <c:pt idx="1">
                  <c:v>6 luni 2016</c:v>
                </c:pt>
              </c:strCache>
            </c:strRef>
          </c:cat>
          <c:val>
            <c:numRef>
              <c:f>Лист1!$E$77:$E$78</c:f>
              <c:numCache>
                <c:formatCode>General</c:formatCode>
                <c:ptCount val="2"/>
                <c:pt idx="0">
                  <c:v>310</c:v>
                </c:pt>
                <c:pt idx="1">
                  <c:v>242</c:v>
                </c:pt>
              </c:numCache>
            </c:numRef>
          </c:val>
        </c:ser>
        <c:ser>
          <c:idx val="4"/>
          <c:order val="4"/>
          <c:tx>
            <c:strRef>
              <c:f>Лист1!$F$76</c:f>
              <c:strCache>
                <c:ptCount val="1"/>
                <c:pt idx="0">
                  <c:v>Rata de variaţie a stocului de cauze pendinte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2581453634085211E-2"/>
                  <c:y val="-3.24324324324324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5087719298245612E-2"/>
                  <c:y val="-2.52252252252252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Лист1!$A$3:$A$4</c:f>
              <c:strCache>
                <c:ptCount val="2"/>
                <c:pt idx="0">
                  <c:v>6 luni 2015</c:v>
                </c:pt>
                <c:pt idx="1">
                  <c:v>6 luni 2016</c:v>
                </c:pt>
              </c:strCache>
            </c:strRef>
          </c:cat>
          <c:val>
            <c:numRef>
              <c:f>Лист1!$F$77:$F$78</c:f>
              <c:numCache>
                <c:formatCode>0.00%</c:formatCode>
                <c:ptCount val="2"/>
                <c:pt idx="0">
                  <c:v>0.74014336917562729</c:v>
                </c:pt>
                <c:pt idx="1">
                  <c:v>0.97002724795640327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414001696"/>
        <c:axId val="414008752"/>
        <c:axId val="0"/>
      </c:bar3DChart>
      <c:catAx>
        <c:axId val="414001696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414008752"/>
        <c:crosses val="autoZero"/>
        <c:auto val="1"/>
        <c:lblAlgn val="ctr"/>
        <c:lblOffset val="100"/>
        <c:noMultiLvlLbl val="0"/>
      </c:catAx>
      <c:valAx>
        <c:axId val="4140087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1400169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"/>
          <c:y val="0.80339702082116748"/>
          <c:w val="1"/>
          <c:h val="0.13831023919244775"/>
        </c:manualLayout>
      </c:layout>
      <c:overlay val="0"/>
      <c:txPr>
        <a:bodyPr/>
        <a:lstStyle/>
        <a:p>
          <a:pPr>
            <a:defRPr sz="900">
              <a:latin typeface="Times New Roman" pitchFamily="18" charset="0"/>
              <a:cs typeface="Times New Roman" pitchFamily="18" charset="0"/>
            </a:defRPr>
          </a:pPr>
          <a:endParaRPr lang="ro-RO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660580020218888"/>
          <c:y val="6.8062053740608724E-2"/>
          <c:w val="0.73646559698986525"/>
          <c:h val="0.6382087596083596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Лист1!$B$93</c:f>
              <c:strCache>
                <c:ptCount val="1"/>
                <c:pt idx="0">
                  <c:v>Cauze pendinte la începutul perioadei raportate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dLbl>
              <c:idx val="0"/>
              <c:layout>
                <c:manualLayout>
                  <c:x val="5.0125070916499084E-3"/>
                  <c:y val="-7.702117366960487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5761627082366337E-3"/>
                  <c:y val="8.4387259134162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Лист1!$A$3:$A$4</c:f>
              <c:strCache>
                <c:ptCount val="2"/>
                <c:pt idx="0">
                  <c:v>6 luni 2015</c:v>
                </c:pt>
                <c:pt idx="1">
                  <c:v>6 luni 2016</c:v>
                </c:pt>
              </c:strCache>
            </c:strRef>
          </c:cat>
          <c:val>
            <c:numRef>
              <c:f>Лист1!$B$94:$B$95</c:f>
              <c:numCache>
                <c:formatCode>General</c:formatCode>
                <c:ptCount val="2"/>
                <c:pt idx="0">
                  <c:v>146</c:v>
                </c:pt>
                <c:pt idx="1">
                  <c:v>107</c:v>
                </c:pt>
              </c:numCache>
            </c:numRef>
          </c:val>
        </c:ser>
        <c:ser>
          <c:idx val="1"/>
          <c:order val="1"/>
          <c:tx>
            <c:strRef>
              <c:f>Лист1!$C$93</c:f>
              <c:strCache>
                <c:ptCount val="1"/>
                <c:pt idx="0">
                  <c:v>Cauze noi înregistrate 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1"/>
              <c:layout>
                <c:manualLayout>
                  <c:x val="7.5187969924812199E-3"/>
                  <c:y val="-1.80180180180180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Лист1!$A$3:$A$4</c:f>
              <c:strCache>
                <c:ptCount val="2"/>
                <c:pt idx="0">
                  <c:v>6 luni 2015</c:v>
                </c:pt>
                <c:pt idx="1">
                  <c:v>6 luni 2016</c:v>
                </c:pt>
              </c:strCache>
            </c:strRef>
          </c:cat>
          <c:val>
            <c:numRef>
              <c:f>Лист1!$C$94:$C$95</c:f>
              <c:numCache>
                <c:formatCode>General</c:formatCode>
                <c:ptCount val="2"/>
                <c:pt idx="0">
                  <c:v>311</c:v>
                </c:pt>
                <c:pt idx="1">
                  <c:v>218</c:v>
                </c:pt>
              </c:numCache>
            </c:numRef>
          </c:val>
        </c:ser>
        <c:ser>
          <c:idx val="2"/>
          <c:order val="2"/>
          <c:tx>
            <c:strRef>
              <c:f>Лист1!$D$93</c:f>
              <c:strCache>
                <c:ptCount val="1"/>
                <c:pt idx="0">
                  <c:v>Cauze soluționate 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dLbl>
              <c:idx val="0"/>
              <c:layout>
                <c:manualLayout>
                  <c:x val="1.5037593984962405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2531328320802023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Лист1!$A$3:$A$4</c:f>
              <c:strCache>
                <c:ptCount val="2"/>
                <c:pt idx="0">
                  <c:v>6 luni 2015</c:v>
                </c:pt>
                <c:pt idx="1">
                  <c:v>6 luni 2016</c:v>
                </c:pt>
              </c:strCache>
            </c:strRef>
          </c:cat>
          <c:val>
            <c:numRef>
              <c:f>Лист1!$D$94:$D$95</c:f>
              <c:numCache>
                <c:formatCode>General</c:formatCode>
                <c:ptCount val="2"/>
                <c:pt idx="0">
                  <c:v>306</c:v>
                </c:pt>
                <c:pt idx="1">
                  <c:v>221</c:v>
                </c:pt>
              </c:numCache>
            </c:numRef>
          </c:val>
        </c:ser>
        <c:ser>
          <c:idx val="3"/>
          <c:order val="3"/>
          <c:tx>
            <c:strRef>
              <c:f>Лист1!$E$93</c:f>
              <c:strCache>
                <c:ptCount val="1"/>
                <c:pt idx="0">
                  <c:v>Cauze pendinte la sfârșitul perioadei raportate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005012531328321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4534502784946415E-2"/>
                  <c:y val="-9.934244477368469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Лист1!$A$3:$A$4</c:f>
              <c:strCache>
                <c:ptCount val="2"/>
                <c:pt idx="0">
                  <c:v>6 luni 2015</c:v>
                </c:pt>
                <c:pt idx="1">
                  <c:v>6 luni 2016</c:v>
                </c:pt>
              </c:strCache>
            </c:strRef>
          </c:cat>
          <c:val>
            <c:numRef>
              <c:f>Лист1!$E$94:$E$95</c:f>
              <c:numCache>
                <c:formatCode>General</c:formatCode>
                <c:ptCount val="2"/>
                <c:pt idx="0">
                  <c:v>151</c:v>
                </c:pt>
                <c:pt idx="1">
                  <c:v>104</c:v>
                </c:pt>
              </c:numCache>
            </c:numRef>
          </c:val>
        </c:ser>
        <c:ser>
          <c:idx val="4"/>
          <c:order val="4"/>
          <c:tx>
            <c:strRef>
              <c:f>Лист1!$F$93</c:f>
              <c:strCache>
                <c:ptCount val="1"/>
                <c:pt idx="0">
                  <c:v>Rata de variaţie a stocului de cauze pendinte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2581453634085211E-2"/>
                  <c:y val="-3.24324324324324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5087719298245612E-2"/>
                  <c:y val="-2.52252252252253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Лист1!$A$3:$A$4</c:f>
              <c:strCache>
                <c:ptCount val="2"/>
                <c:pt idx="0">
                  <c:v>6 luni 2015</c:v>
                </c:pt>
                <c:pt idx="1">
                  <c:v>6 luni 2016</c:v>
                </c:pt>
              </c:strCache>
            </c:strRef>
          </c:cat>
          <c:val>
            <c:numRef>
              <c:f>Лист1!$F$94:$F$95</c:f>
              <c:numCache>
                <c:formatCode>0.00%</c:formatCode>
                <c:ptCount val="2"/>
                <c:pt idx="0">
                  <c:v>0.98392282958199362</c:v>
                </c:pt>
                <c:pt idx="1">
                  <c:v>1.0137614678899083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414005224"/>
        <c:axId val="414010320"/>
        <c:axId val="0"/>
      </c:bar3DChart>
      <c:catAx>
        <c:axId val="414005224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414010320"/>
        <c:crosses val="autoZero"/>
        <c:auto val="1"/>
        <c:lblAlgn val="ctr"/>
        <c:lblOffset val="100"/>
        <c:noMultiLvlLbl val="0"/>
      </c:catAx>
      <c:valAx>
        <c:axId val="41401032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1400522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"/>
          <c:y val="0.80339702082116748"/>
          <c:w val="1"/>
          <c:h val="0.13831023919244786"/>
        </c:manualLayout>
      </c:layout>
      <c:overlay val="0"/>
      <c:txPr>
        <a:bodyPr/>
        <a:lstStyle/>
        <a:p>
          <a:pPr>
            <a:defRPr sz="900">
              <a:latin typeface="Times New Roman" pitchFamily="18" charset="0"/>
              <a:cs typeface="Times New Roman" pitchFamily="18" charset="0"/>
            </a:defRPr>
          </a:pPr>
          <a:endParaRPr lang="ro-RO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660580020218888"/>
          <c:y val="6.8062053740608724E-2"/>
          <c:w val="0.73646559698986525"/>
          <c:h val="0.6382087596083596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Лист1!$B$109</c:f>
              <c:strCache>
                <c:ptCount val="1"/>
                <c:pt idx="0">
                  <c:v>Cauze pendinte la începutul perioadei raportate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dLbl>
              <c:idx val="0"/>
              <c:layout>
                <c:manualLayout>
                  <c:x val="5.0125070916499084E-3"/>
                  <c:y val="-7.702117366960487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576162708236635E-3"/>
                  <c:y val="8.4387259134162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Лист1!$A$3:$A$4</c:f>
              <c:strCache>
                <c:ptCount val="2"/>
                <c:pt idx="0">
                  <c:v>6 luni 2015</c:v>
                </c:pt>
                <c:pt idx="1">
                  <c:v>6 luni 2016</c:v>
                </c:pt>
              </c:strCache>
            </c:strRef>
          </c:cat>
          <c:val>
            <c:numRef>
              <c:f>Лист1!$B$110:$B$111</c:f>
              <c:numCache>
                <c:formatCode>General</c:formatCode>
                <c:ptCount val="2"/>
                <c:pt idx="0">
                  <c:v>13</c:v>
                </c:pt>
                <c:pt idx="1">
                  <c:v>17</c:v>
                </c:pt>
              </c:numCache>
            </c:numRef>
          </c:val>
        </c:ser>
        <c:ser>
          <c:idx val="1"/>
          <c:order val="1"/>
          <c:tx>
            <c:strRef>
              <c:f>Лист1!$C$109</c:f>
              <c:strCache>
                <c:ptCount val="1"/>
                <c:pt idx="0">
                  <c:v>Cauze noi înregistrate 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1"/>
              <c:layout>
                <c:manualLayout>
                  <c:x val="7.5187969924812225E-3"/>
                  <c:y val="-1.80180180180180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Лист1!$A$3:$A$4</c:f>
              <c:strCache>
                <c:ptCount val="2"/>
                <c:pt idx="0">
                  <c:v>6 luni 2015</c:v>
                </c:pt>
                <c:pt idx="1">
                  <c:v>6 luni 2016</c:v>
                </c:pt>
              </c:strCache>
            </c:strRef>
          </c:cat>
          <c:val>
            <c:numRef>
              <c:f>Лист1!$C$110:$C$111</c:f>
              <c:numCache>
                <c:formatCode>General</c:formatCode>
                <c:ptCount val="2"/>
                <c:pt idx="0">
                  <c:v>100</c:v>
                </c:pt>
                <c:pt idx="1">
                  <c:v>93</c:v>
                </c:pt>
              </c:numCache>
            </c:numRef>
          </c:val>
        </c:ser>
        <c:ser>
          <c:idx val="2"/>
          <c:order val="2"/>
          <c:tx>
            <c:strRef>
              <c:f>Лист1!$D$109</c:f>
              <c:strCache>
                <c:ptCount val="1"/>
                <c:pt idx="0">
                  <c:v>Cauze soluționate 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dLbl>
              <c:idx val="0"/>
              <c:layout>
                <c:manualLayout>
                  <c:x val="1.5037593984962405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2531328320802023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Лист1!$A$3:$A$4</c:f>
              <c:strCache>
                <c:ptCount val="2"/>
                <c:pt idx="0">
                  <c:v>6 luni 2015</c:v>
                </c:pt>
                <c:pt idx="1">
                  <c:v>6 luni 2016</c:v>
                </c:pt>
              </c:strCache>
            </c:strRef>
          </c:cat>
          <c:val>
            <c:numRef>
              <c:f>Лист1!$D$110:$D$111</c:f>
              <c:numCache>
                <c:formatCode>General</c:formatCode>
                <c:ptCount val="2"/>
                <c:pt idx="0">
                  <c:v>79</c:v>
                </c:pt>
                <c:pt idx="1">
                  <c:v>93</c:v>
                </c:pt>
              </c:numCache>
            </c:numRef>
          </c:val>
        </c:ser>
        <c:ser>
          <c:idx val="3"/>
          <c:order val="3"/>
          <c:tx>
            <c:strRef>
              <c:f>Лист1!$E$109</c:f>
              <c:strCache>
                <c:ptCount val="1"/>
                <c:pt idx="0">
                  <c:v>Cauze pendinte la sfârșitul perioadei raportate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005012531328321E-2"/>
                  <c:y val="-1.0810810810810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4534502784946415E-2"/>
                  <c:y val="-9.934244477368472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Лист1!$A$3:$A$4</c:f>
              <c:strCache>
                <c:ptCount val="2"/>
                <c:pt idx="0">
                  <c:v>6 luni 2015</c:v>
                </c:pt>
                <c:pt idx="1">
                  <c:v>6 luni 2016</c:v>
                </c:pt>
              </c:strCache>
            </c:strRef>
          </c:cat>
          <c:val>
            <c:numRef>
              <c:f>Лист1!$E$110:$E$111</c:f>
              <c:numCache>
                <c:formatCode>General</c:formatCode>
                <c:ptCount val="2"/>
                <c:pt idx="0">
                  <c:v>34</c:v>
                </c:pt>
                <c:pt idx="1">
                  <c:v>17</c:v>
                </c:pt>
              </c:numCache>
            </c:numRef>
          </c:val>
        </c:ser>
        <c:ser>
          <c:idx val="4"/>
          <c:order val="4"/>
          <c:tx>
            <c:strRef>
              <c:f>Лист1!$F$109</c:f>
              <c:strCache>
                <c:ptCount val="1"/>
                <c:pt idx="0">
                  <c:v>Rata de variaţie a stocului de cauze pendinte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2581453634085211E-2"/>
                  <c:y val="-3.24324324324324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5087719298245612E-2"/>
                  <c:y val="-2.52252252252253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Лист1!$A$3:$A$4</c:f>
              <c:strCache>
                <c:ptCount val="2"/>
                <c:pt idx="0">
                  <c:v>6 luni 2015</c:v>
                </c:pt>
                <c:pt idx="1">
                  <c:v>6 luni 2016</c:v>
                </c:pt>
              </c:strCache>
            </c:strRef>
          </c:cat>
          <c:val>
            <c:numRef>
              <c:f>Лист1!$F$110:$F$111</c:f>
              <c:numCache>
                <c:formatCode>0.00%</c:formatCode>
                <c:ptCount val="2"/>
                <c:pt idx="0">
                  <c:v>0.79</c:v>
                </c:pt>
                <c:pt idx="1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62784184"/>
        <c:axId val="162783792"/>
        <c:axId val="0"/>
      </c:bar3DChart>
      <c:catAx>
        <c:axId val="162784184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62783792"/>
        <c:crosses val="autoZero"/>
        <c:auto val="1"/>
        <c:lblAlgn val="ctr"/>
        <c:lblOffset val="100"/>
        <c:noMultiLvlLbl val="0"/>
      </c:catAx>
      <c:valAx>
        <c:axId val="1627837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278418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"/>
          <c:y val="0.80339702082116748"/>
          <c:w val="1"/>
          <c:h val="0.13831023919244798"/>
        </c:manualLayout>
      </c:layout>
      <c:overlay val="0"/>
      <c:txPr>
        <a:bodyPr/>
        <a:lstStyle/>
        <a:p>
          <a:pPr>
            <a:defRPr sz="900">
              <a:latin typeface="Times New Roman" pitchFamily="18" charset="0"/>
              <a:cs typeface="Times New Roman" pitchFamily="18" charset="0"/>
            </a:defRPr>
          </a:pPr>
          <a:endParaRPr lang="ro-RO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994DE-F532-41BE-8508-5DC647C13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12</Pages>
  <Words>3723</Words>
  <Characters>21594</Characters>
  <Application>Microsoft Office Word</Application>
  <DocSecurity>0</DocSecurity>
  <Lines>179</Lines>
  <Paragraphs>50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25267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Експедитор</dc:creator>
  <cp:lastModifiedBy>Vacan I</cp:lastModifiedBy>
  <cp:revision>28</cp:revision>
  <cp:lastPrinted>2016-08-26T06:15:00Z</cp:lastPrinted>
  <dcterms:created xsi:type="dcterms:W3CDTF">2016-04-13T09:51:00Z</dcterms:created>
  <dcterms:modified xsi:type="dcterms:W3CDTF">2016-08-26T07:27:00Z</dcterms:modified>
</cp:coreProperties>
</file>