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093" w:rsidRPr="00F74D63" w:rsidRDefault="004C4093" w:rsidP="004C4093">
      <w:pPr>
        <w:tabs>
          <w:tab w:val="left" w:pos="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F74D63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15875</wp:posOffset>
            </wp:positionV>
            <wp:extent cx="5934075" cy="1000125"/>
            <wp:effectExtent l="19050" t="0" r="9525" b="0"/>
            <wp:wrapNone/>
            <wp:docPr id="10" name="Рисунок 1" descr="head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ader_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093" w:rsidRPr="00EB39B2" w:rsidRDefault="004C4093" w:rsidP="004C4093">
      <w:pPr>
        <w:tabs>
          <w:tab w:val="left" w:pos="142"/>
        </w:tabs>
        <w:spacing w:after="0" w:line="240" w:lineRule="auto"/>
        <w:ind w:right="-1" w:firstLine="567"/>
        <w:rPr>
          <w:rFonts w:ascii="Times New Roman" w:hAnsi="Times New Roman"/>
          <w:b/>
          <w:color w:val="000000" w:themeColor="text1"/>
          <w:lang w:val="it-IT"/>
        </w:rPr>
      </w:pPr>
      <w:r w:rsidRPr="00F74D63">
        <w:rPr>
          <w:rFonts w:ascii="Times New Roman" w:hAnsi="Times New Roman"/>
          <w:color w:val="000000" w:themeColor="text1"/>
          <w:sz w:val="72"/>
          <w:lang w:val="en-US"/>
        </w:rPr>
        <w:t xml:space="preserve"> </w:t>
      </w:r>
      <w:r w:rsidRPr="00EB39B2">
        <w:rPr>
          <w:rFonts w:ascii="Times New Roman" w:hAnsi="Times New Roman"/>
          <w:color w:val="000000" w:themeColor="text1"/>
          <w:sz w:val="72"/>
          <w:lang w:val="it-IT"/>
        </w:rPr>
        <w:t>Curtea de Apel Cahul</w:t>
      </w:r>
      <w:r w:rsidRPr="00EB39B2">
        <w:rPr>
          <w:rFonts w:ascii="Times New Roman" w:hAnsi="Times New Roman"/>
          <w:color w:val="000000" w:themeColor="text1"/>
          <w:sz w:val="72"/>
          <w:lang w:val="it-IT"/>
        </w:rPr>
        <w:br/>
      </w:r>
      <w:r w:rsidRPr="00EB39B2">
        <w:rPr>
          <w:rFonts w:ascii="Times New Roman" w:hAnsi="Times New Roman"/>
          <w:b/>
          <w:color w:val="000000" w:themeColor="text1"/>
          <w:sz w:val="24"/>
          <w:lang w:val="it-IT"/>
        </w:rPr>
        <w:t xml:space="preserve">             instante.justice.md/cms/curtea-de-apel-cahul</w:t>
      </w:r>
    </w:p>
    <w:p w:rsidR="004C4093" w:rsidRPr="00EB39B2" w:rsidRDefault="004C4093" w:rsidP="004C4093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4C4093" w:rsidRPr="006C1DD3" w:rsidRDefault="004C4093" w:rsidP="004C4093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Notă informativă</w:t>
      </w:r>
    </w:p>
    <w:p w:rsidR="004C4093" w:rsidRPr="006C1DD3" w:rsidRDefault="004C4093" w:rsidP="004C4093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cu privire la activitatea </w:t>
      </w:r>
      <w:proofErr w:type="spellStart"/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Curţii</w:t>
      </w:r>
      <w:proofErr w:type="spellEnd"/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de Apel Cahul pe parcursul</w:t>
      </w:r>
    </w:p>
    <w:p w:rsidR="004C4093" w:rsidRPr="006C1DD3" w:rsidRDefault="004C4093" w:rsidP="004C4093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 luni a anului 2016</w:t>
      </w:r>
    </w:p>
    <w:p w:rsidR="004C4093" w:rsidRPr="006C1DD3" w:rsidRDefault="004C4093" w:rsidP="004C4093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4C4093" w:rsidRPr="00EB39B2" w:rsidRDefault="004C4093" w:rsidP="004C4093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  <w:t>Conform planului de activitate pentru anul 2016 a Curţii de Apel Cahul a fost efectuată analiza activității privind rezultatele efectuă</w:t>
      </w:r>
      <w:r w:rsidR="00895B4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rii justiţiei pe cauzele penale,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civile</w:t>
      </w:r>
      <w:r w:rsidR="00895B4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și contravenționale pe perioada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 luni a anului 2016.</w:t>
      </w:r>
    </w:p>
    <w:p w:rsidR="004C4093" w:rsidRPr="006C1DD3" w:rsidRDefault="004C4093" w:rsidP="004C4093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Nota informativă dată cuprinde analiza datelor statistice cu privire la examinarea cauzelor penale, civile și economice în prima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instanţă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în baza Legii contenciosului administrativ, în ordine de apel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recurs, examinarea recursurilor privind eliberarea sau refuzul de a elibera  mandatul de arest, precum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prelungirea termenului de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ţinere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sub arest, examinarea în ordine de recurs ordinar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recurs extraordinar a materialelor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contravenţionale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4C4093" w:rsidRPr="00EB39B2" w:rsidRDefault="004C4093" w:rsidP="004C4093">
      <w:pPr>
        <w:tabs>
          <w:tab w:val="left" w:pos="142"/>
          <w:tab w:val="left" w:pos="1080"/>
        </w:tabs>
        <w:spacing w:after="0"/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I. Activitatea Colegiilor la înfăptuirea justiţiei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br/>
      </w:r>
    </w:p>
    <w:p w:rsidR="004C4093" w:rsidRPr="00F74D63" w:rsidRDefault="004C4093" w:rsidP="004C4093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În perioada 3 luni 2016 la Curtea de Apel Cahul s-au aflat în procedură:</w:t>
      </w:r>
    </w:p>
    <w:p w:rsidR="004C4093" w:rsidRPr="00F74D63" w:rsidRDefault="004C4093" w:rsidP="004C409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362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4C4093" w:rsidRPr="00F74D63" w:rsidRDefault="004C4093" w:rsidP="004C409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359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din care fără soluționare în fond 27 cauze, strămutate la CSJ -13 cauze</w:t>
      </w:r>
    </w:p>
    <w:p w:rsidR="004C4093" w:rsidRPr="00F74D63" w:rsidRDefault="004C4093" w:rsidP="004C4093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343 dosare.</w:t>
      </w:r>
    </w:p>
    <w:p w:rsidR="004C4093" w:rsidRPr="00F74D63" w:rsidRDefault="004C4093" w:rsidP="004C409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>Numărul dosarelor pendinte la</w:t>
      </w:r>
      <w:r w:rsidR="00F43A3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F43A30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338 dosare.</w:t>
      </w:r>
    </w:p>
    <w:p w:rsidR="004C4093" w:rsidRPr="00F74D63" w:rsidRDefault="004C4093" w:rsidP="004C409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Rata de variație a stocului de cauze (raportul dintre cauzele noi înregistrate și cele pendinte la începutul perioadei raportate)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95,54%.</w:t>
      </w:r>
    </w:p>
    <w:p w:rsidR="004C4093" w:rsidRPr="00F74D63" w:rsidRDefault="004C4093" w:rsidP="004C4093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examinate de un judecător în mediu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49 dosare.</w:t>
      </w:r>
    </w:p>
    <w:p w:rsidR="00895B4F" w:rsidRPr="00F74D63" w:rsidRDefault="00895B4F" w:rsidP="004C409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C4093" w:rsidRPr="00F74D63" w:rsidRDefault="004C4093" w:rsidP="004C4093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În anul 2016 comparativ cu aceeași perioadă a anului 2015 numărul dosarelor pendinte la începutul perioadei raportate a înregistrat  o creștere cu 60 dosare.</w:t>
      </w:r>
    </w:p>
    <w:p w:rsidR="004C4093" w:rsidRPr="00F74D63" w:rsidRDefault="004C4093" w:rsidP="004C4093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dimpotrivă au înregistrat o scădere cu 113 cauze. </w:t>
      </w:r>
    </w:p>
    <w:p w:rsidR="004C4093" w:rsidRPr="00EB39B2" w:rsidRDefault="004C4093" w:rsidP="004C4093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</w:t>
      </w:r>
      <w:r w:rsidR="00F43A30">
        <w:rPr>
          <w:rFonts w:ascii="Times New Roman" w:hAnsi="Times New Roman"/>
          <w:color w:val="000000" w:themeColor="text1"/>
          <w:sz w:val="24"/>
          <w:szCs w:val="24"/>
          <w:lang w:val="ro-RO"/>
        </w:rPr>
        <w:t>le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soluționate ne indică o creștere cu  20 dosare, iar  cele pendinte o scădere cu  69 dosare. </w:t>
      </w:r>
    </w:p>
    <w:p w:rsidR="00895B4F" w:rsidRPr="00F74D63" w:rsidRDefault="00895B4F" w:rsidP="004C4093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C4093" w:rsidRPr="00F74D63" w:rsidRDefault="004C4093" w:rsidP="00C51D34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sectPr w:rsidR="004C4093" w:rsidRPr="00F74D63" w:rsidSect="004C4093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237490</wp:posOffset>
            </wp:positionV>
            <wp:extent cx="4963795" cy="3006090"/>
            <wp:effectExtent l="19050" t="0" r="27305" b="381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activității comparative în diagramă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lastRenderedPageBreak/>
        <w:t>II. Examinarea cauzelor penale de către Curtea de Apel Cahul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  <w:t xml:space="preserve">Pe parcursul perioadei 3 luni a anului 2016 spre examinare la Curtea de Apel Cahul </w:t>
      </w:r>
      <w:r w:rsidR="00815C34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s-au aflat în procedură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în total </w:t>
      </w:r>
      <w:r w:rsidR="00815C34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223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cauze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penale</w:t>
      </w:r>
      <w:r w:rsidR="00815C34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dintre care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penale în I instanţă- 0 , penale în apel -53, penale în recurs -1,  mandate la arest – 33, prezentări – 12, conflict de competență –6, plîngeri î/a acț. OUP –16, materiale privind acț. de UP efectuate cu autorizarea judecătorului de instruție – 3 cauze, materiale privind ridicarea</w:t>
      </w:r>
      <w:r w:rsidR="00AD1EF7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p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rovizorie a permisului de conducere-0</w:t>
      </w:r>
      <w:r w:rsidR="0006722D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.</w:t>
      </w:r>
    </w:p>
    <w:p w:rsidR="00815C34" w:rsidRPr="00F74D63" w:rsidRDefault="00815C34" w:rsidP="00815C3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99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815C34" w:rsidRPr="00F74D63" w:rsidRDefault="00815C34" w:rsidP="00815C3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124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din care fără soluționare în fond 3 cauze, strămutate la CSJ -0 cauze</w:t>
      </w:r>
    </w:p>
    <w:p w:rsidR="00815C34" w:rsidRPr="00F74D63" w:rsidRDefault="00815C34" w:rsidP="00815C34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129 dosare.</w:t>
      </w:r>
    </w:p>
    <w:p w:rsidR="00815C34" w:rsidRPr="00F74D63" w:rsidRDefault="00815C34" w:rsidP="00815C3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91 dosare.</w:t>
      </w:r>
    </w:p>
    <w:p w:rsidR="00815C34" w:rsidRPr="00F74D63" w:rsidRDefault="00815C34" w:rsidP="00815C3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Rata de variație a stocului de cauze (raportul dintre cauzele noi înregistrate și cele pendinte la începutul perioadei raportate) constituie </w:t>
      </w:r>
      <w:r w:rsidR="006C6390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104,03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815C34" w:rsidRPr="00F74D63" w:rsidRDefault="00815C34" w:rsidP="00815C34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</w:t>
      </w:r>
      <w:r w:rsidR="00430DB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8,43</w:t>
      </w:r>
      <w:r w:rsidR="00F43A30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dosare.</w:t>
      </w:r>
    </w:p>
    <w:p w:rsidR="00895B4F" w:rsidRPr="00EB39B2" w:rsidRDefault="00895B4F" w:rsidP="006154EF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15C34" w:rsidRPr="00F74D63" w:rsidRDefault="00815C34" w:rsidP="00815C34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anul 2016 numărul dosarelor pendinte la începutul perioadei raportate a fost </w:t>
      </w:r>
      <w:r w:rsidR="005F6BB0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la fel ca și în aceeași perioadă a anului 2015</w:t>
      </w:r>
    </w:p>
    <w:p w:rsidR="00815C34" w:rsidRPr="00195633" w:rsidRDefault="00815C34" w:rsidP="00815C34">
      <w:pPr>
        <w:pStyle w:val="NoSpacing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95633">
        <w:rPr>
          <w:rFonts w:ascii="Times New Roman" w:hAnsi="Times New Roman"/>
          <w:sz w:val="24"/>
          <w:szCs w:val="24"/>
          <w:lang w:val="ro-RO"/>
        </w:rPr>
        <w:t xml:space="preserve">Dosarele noi înregistrate au înregistrat o </w:t>
      </w:r>
      <w:r w:rsidR="0006722D" w:rsidRPr="00195633">
        <w:rPr>
          <w:rFonts w:ascii="Times New Roman" w:hAnsi="Times New Roman"/>
          <w:sz w:val="24"/>
          <w:szCs w:val="24"/>
          <w:lang w:val="ro-RO"/>
        </w:rPr>
        <w:t>creștere</w:t>
      </w:r>
      <w:r w:rsidRPr="00195633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06722D" w:rsidRPr="00195633">
        <w:rPr>
          <w:rFonts w:ascii="Times New Roman" w:hAnsi="Times New Roman"/>
          <w:sz w:val="24"/>
          <w:szCs w:val="24"/>
          <w:lang w:val="ro-RO"/>
        </w:rPr>
        <w:t>13</w:t>
      </w:r>
      <w:r w:rsidRPr="00195633">
        <w:rPr>
          <w:rFonts w:ascii="Times New Roman" w:hAnsi="Times New Roman"/>
          <w:sz w:val="24"/>
          <w:szCs w:val="24"/>
          <w:lang w:val="ro-RO"/>
        </w:rPr>
        <w:t xml:space="preserve"> cauze. </w:t>
      </w:r>
      <w:r w:rsidR="00195633" w:rsidRPr="0019563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15C34" w:rsidRPr="00EB39B2" w:rsidRDefault="00815C34" w:rsidP="00815C34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creștere cu  </w:t>
      </w:r>
      <w:r w:rsidR="00753192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17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dosare, iar  cele pendinte o scădere cu  </w:t>
      </w:r>
      <w:r w:rsidR="00753192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 </w:t>
      </w:r>
    </w:p>
    <w:p w:rsidR="00C51D34" w:rsidRPr="00F74D63" w:rsidRDefault="00C51D34" w:rsidP="00331CDE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753192" w:rsidRPr="00F74D63" w:rsidRDefault="00C51D34" w:rsidP="00331CDE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349250</wp:posOffset>
            </wp:positionV>
            <wp:extent cx="5314950" cy="3495675"/>
            <wp:effectExtent l="19050" t="0" r="19050" b="0"/>
            <wp:wrapTopAndBottom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53192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activității comparative în diagramă</w:t>
      </w:r>
    </w:p>
    <w:p w:rsidR="006C6390" w:rsidRPr="00F74D63" w:rsidRDefault="006C6390" w:rsidP="00753192">
      <w:pPr>
        <w:pStyle w:val="NoSpacing"/>
        <w:ind w:firstLine="720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3469EC" w:rsidRPr="00EB39B2" w:rsidRDefault="003469EC" w:rsidP="00331CDE">
      <w:pPr>
        <w:pStyle w:val="NoSpacing"/>
        <w:tabs>
          <w:tab w:val="left" w:pos="142"/>
        </w:tabs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3469EC">
      <w:pPr>
        <w:pStyle w:val="NoSpacing"/>
        <w:tabs>
          <w:tab w:val="left" w:pos="142"/>
        </w:tabs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III. Examinarea cauzelor penale în ordine de apel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(1a)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  <w:t xml:space="preserve">Conform art.400 CPP al R.Moldova sentinţele pronunţate de judecătoriile de fond pot fi atacate cu apel </w:t>
      </w:r>
      <w:r w:rsidR="003643D6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la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Curtea de Apel.</w:t>
      </w:r>
    </w:p>
    <w:p w:rsidR="00753192" w:rsidRPr="00EB39B2" w:rsidRDefault="00895B4F" w:rsidP="0075319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="0075319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Pe parcursul perioadei 3 luni a anului 2016 spre examinare la Curtea de Apel Cahul s-au aflat în procedură 130 dosare penale în ordine de apel:</w:t>
      </w:r>
    </w:p>
    <w:p w:rsidR="00753192" w:rsidRPr="00F74D63" w:rsidRDefault="00753192" w:rsidP="0075319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77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753192" w:rsidRPr="00F74D63" w:rsidRDefault="00753192" w:rsidP="0075319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53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din care fără soluționare în fond 1 cauză, strămutate la CSJ -0 cauze</w:t>
      </w:r>
    </w:p>
    <w:p w:rsidR="00753192" w:rsidRPr="00F74D63" w:rsidRDefault="00753192" w:rsidP="0075319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58 dosare.</w:t>
      </w:r>
    </w:p>
    <w:p w:rsidR="00753192" w:rsidRPr="00F74D63" w:rsidRDefault="00753192" w:rsidP="0075319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71 dosare.</w:t>
      </w:r>
    </w:p>
    <w:p w:rsidR="00753192" w:rsidRPr="00F74D63" w:rsidRDefault="00753192" w:rsidP="0075319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lastRenderedPageBreak/>
        <w:tab/>
        <w:t xml:space="preserve">Rata de variație a stocului de cauze (raportul dintre cauzele noi înregistrate și cele pendinte la începutul perioadei raportate) constituie </w:t>
      </w:r>
      <w:r w:rsidR="003469EC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109,43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753192" w:rsidRPr="00F74D63" w:rsidRDefault="00753192" w:rsidP="00753192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="00430DB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8,29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753192" w:rsidRPr="00F74D63" w:rsidRDefault="00753192" w:rsidP="00753192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753192" w:rsidRPr="00F74D63" w:rsidRDefault="00753192" w:rsidP="00753192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anul 2016 comparativ cu aceeași perioadă a anului 2015 numărul dosarelor pendinte la începutul perioadei raportate a înregistrat  o creștere cu </w:t>
      </w:r>
      <w:r w:rsidR="003643D6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</w:t>
      </w:r>
    </w:p>
    <w:p w:rsidR="00753192" w:rsidRPr="00F74D63" w:rsidRDefault="00753192" w:rsidP="00753192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au înregistrat o creștere cu 7</w:t>
      </w:r>
      <w:r w:rsidR="003643D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cauze. </w:t>
      </w:r>
    </w:p>
    <w:p w:rsidR="00753192" w:rsidRPr="00F74D63" w:rsidRDefault="00753192" w:rsidP="00753192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creștere cu  </w:t>
      </w:r>
      <w:r w:rsidR="007764CB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dosare, </w:t>
      </w:r>
      <w:r w:rsidR="007764CB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și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cele pendinte o </w:t>
      </w:r>
      <w:r w:rsidR="007764CB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creștere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 </w:t>
      </w:r>
      <w:r w:rsidR="007764CB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 </w:t>
      </w:r>
    </w:p>
    <w:p w:rsidR="003469EC" w:rsidRPr="00F74D63" w:rsidRDefault="003469EC" w:rsidP="00753192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7764CB" w:rsidRPr="00EB39B2" w:rsidRDefault="003469EC" w:rsidP="00753192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bCs/>
          <w:noProof/>
          <w:color w:val="000000" w:themeColor="text1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-1270</wp:posOffset>
            </wp:positionV>
            <wp:extent cx="5314950" cy="3476625"/>
            <wp:effectExtent l="19050" t="0" r="1905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Datele statistice pe cauzele penale parvenite spre examinare în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ordine de apel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din judecătoriile din circumscripţia Curţii de Apel Cahul și alte instanțe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Datele statistice pe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cauzele penale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parvenite spre examinare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în ordine de apel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din fiecare judecătorie din circumscripţia Curţii de Apel Cahul şi alte instanțe, rezultatele examinării  în perioada 3 luni a anului 2016 sânt următoarele: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Cahul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29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</w:t>
      </w:r>
      <w:r w:rsidR="00141D87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la fel ca și în aceeași perioada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 anului 201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din care : </w:t>
      </w:r>
    </w:p>
    <w:p w:rsidR="00895B4F" w:rsidRPr="00EB39B2" w:rsidRDefault="00895B4F" w:rsidP="00895B4F">
      <w:pPr>
        <w:pStyle w:val="NoSpacing"/>
        <w:tabs>
          <w:tab w:val="left" w:pos="284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- menținute fără modificări –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16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61,5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%), cu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în aceeași perioadă a anului 201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   - casate cu pronunţarea unei noi hotărîri –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10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38,46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n aceeaşi perioadă a anului 2015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.  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Leova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– examinate –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9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 din care: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42,8</w:t>
      </w:r>
      <w:r w:rsidR="003C6B4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cu pronunţarea unei noi hotărîri –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57,14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 în aceeaşi perioadă a anului 201</w:t>
      </w:r>
      <w:r w:rsidR="00141D87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75373D" w:rsidRPr="00EB39B2" w:rsidRDefault="00895B4F" w:rsidP="0075373D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Cantemir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</w:t>
      </w:r>
      <w:r w:rsidR="0075373D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la fel ca și în aceeași perioada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 anului 2015, din care : </w:t>
      </w:r>
    </w:p>
    <w:p w:rsidR="00895B4F" w:rsidRPr="00EB39B2" w:rsidRDefault="00895B4F" w:rsidP="0075373D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45,45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%), cu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lastRenderedPageBreak/>
        <w:t>casate cu pronunţarea unei noi hotărîri –</w:t>
      </w:r>
      <w:r w:rsidR="00141D87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(54,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 , cu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Taraclia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puțin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din care: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71,43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br/>
        <w:t>- casate cu pronunţarea unei noi hotărîri –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28,57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  <w:tab w:val="left" w:pos="1134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Comrat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din care: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33,33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casate cu pronunţarea unei noi hotărîri –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="00211C5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 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66,6</w:t>
      </w:r>
      <w:r w:rsidR="003C6B4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 cu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75373D" w:rsidRPr="00EB39B2" w:rsidRDefault="00895B4F" w:rsidP="0075373D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Ceadîr-Lunga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(Nr. persoane -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),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75373D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la fel ca și în aceeași perioada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 anului 2015, din care : </w:t>
      </w:r>
    </w:p>
    <w:p w:rsidR="00895B4F" w:rsidRPr="00EB39B2" w:rsidRDefault="00895B4F" w:rsidP="003C6B43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211C5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0 %), cu 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6154EF" w:rsidRPr="00EB39B2" w:rsidRDefault="00895B4F" w:rsidP="003C6B43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casate cu pronunţarea unei noi hotărîri –</w:t>
      </w:r>
      <w:r w:rsidR="0075373D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E56851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cu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puțin ca în aceeaşi perioadă a anului 201</w:t>
      </w:r>
      <w:r w:rsidR="0075373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6154EF" w:rsidRPr="00EB39B2" w:rsidRDefault="006154E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IV. Examinarea materialelor și dosarelor penale în ordine de recurs 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(1r; 14r-16r; 21r; 24r; 10r; 11r; </w:t>
      </w:r>
      <w:r w:rsidR="006154E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12r;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19r)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="006154E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Pe parcursul perioadei 3 luni a anului 2016 spre examinare la Curtea de Apel Cahul s-au aflat în procedură în total</w:t>
      </w:r>
      <w:r w:rsidR="006154E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93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materiale şi dosare penale în ordine de recurs, </w:t>
      </w:r>
      <w:r w:rsidR="006154E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dintre care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6154E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cauze penale în ordine de recurs, </w:t>
      </w:r>
      <w:r w:rsidR="006154EF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33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mandate de arest, </w:t>
      </w:r>
      <w:r w:rsidR="006154EF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22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prezentări, </w:t>
      </w:r>
      <w:r w:rsidR="006154EF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cauze  privind conflictul de competenţă penală, </w:t>
      </w:r>
      <w:r w:rsidR="006154EF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22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cauze – plîngeri î/a acț. OUP, </w:t>
      </w:r>
      <w:r w:rsidR="006154EF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cauze – materiale privind acț. de UP efectuate cu autorizarea judecătorului de instruție, </w:t>
      </w:r>
      <w:r w:rsidR="006154EF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0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cauze- materiale privind ridicarea provizorie a permisului de conducere</w:t>
      </w:r>
      <w:r w:rsidR="006154E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)</w:t>
      </w:r>
    </w:p>
    <w:p w:rsidR="006154EF" w:rsidRPr="00F74D63" w:rsidRDefault="006154EF" w:rsidP="006154EF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22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6154EF" w:rsidRPr="00F74D63" w:rsidRDefault="006154EF" w:rsidP="006154EF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71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din care fără soluționare în fond 2 cauze, strămutate la CSJ -0 cauze</w:t>
      </w:r>
    </w:p>
    <w:p w:rsidR="006154EF" w:rsidRPr="00F74D63" w:rsidRDefault="006154EF" w:rsidP="006154E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71 dosare.</w:t>
      </w:r>
    </w:p>
    <w:p w:rsidR="006154EF" w:rsidRPr="00F74D63" w:rsidRDefault="006154EF" w:rsidP="006154EF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</w:t>
      </w:r>
      <w:r w:rsidR="00E56851">
        <w:rPr>
          <w:rFonts w:ascii="Times New Roman" w:hAnsi="Times New Roman"/>
          <w:color w:val="000000" w:themeColor="text1"/>
          <w:sz w:val="24"/>
          <w:szCs w:val="24"/>
          <w:lang w:val="ro-RO"/>
        </w:rPr>
        <w:t>ș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20 dosare.</w:t>
      </w:r>
    </w:p>
    <w:p w:rsidR="006154EF" w:rsidRPr="00F74D63" w:rsidRDefault="006154EF" w:rsidP="006154EF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Rata de variație a stocului de cauze (raportul dintre cauzele noi înregistrate și cele pendinte la începutul perioadei raportate) constituie </w:t>
      </w:r>
      <w:r w:rsidR="00C8245D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100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6154EF" w:rsidRPr="00F74D63" w:rsidRDefault="006154EF" w:rsidP="006154EF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</w:t>
      </w:r>
      <w:r w:rsidR="00430DB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0,14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6154EF" w:rsidRPr="00EB39B2" w:rsidRDefault="006154EF" w:rsidP="006154EF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6154EF" w:rsidRPr="00F74D63" w:rsidRDefault="006154EF" w:rsidP="006154EF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anul 2016 comparativ cu aceeași perioadă a anului 2015 numărul dosarelor pendinte la începutul perioadei raportate a înregistrat  o </w:t>
      </w:r>
      <w:r w:rsidR="003804F5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scădere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2 dosare.</w:t>
      </w:r>
    </w:p>
    <w:p w:rsidR="006154EF" w:rsidRPr="00F74D63" w:rsidRDefault="006154EF" w:rsidP="006154EF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au înregistrat o </w:t>
      </w:r>
      <w:r w:rsidR="003804F5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crește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 cu 6 </w:t>
      </w:r>
      <w:r w:rsidR="00E56851">
        <w:rPr>
          <w:rFonts w:ascii="Times New Roman" w:hAnsi="Times New Roman"/>
          <w:color w:val="000000" w:themeColor="text1"/>
          <w:sz w:val="24"/>
          <w:szCs w:val="24"/>
          <w:lang w:val="ro-RO"/>
        </w:rPr>
        <w:t>dosare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</w:p>
    <w:p w:rsidR="006154EF" w:rsidRPr="00EB39B2" w:rsidRDefault="006154EF" w:rsidP="006154EF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creștere cu  1</w:t>
      </w:r>
      <w:r w:rsidR="003804F5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dosare, iar  cele pendinte o scădere cu  </w:t>
      </w:r>
      <w:r w:rsidR="003804F5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 </w:t>
      </w:r>
    </w:p>
    <w:p w:rsidR="00C8245D" w:rsidRPr="00F74D63" w:rsidRDefault="00C8245D" w:rsidP="00C8245D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6154EF" w:rsidRPr="00F74D63" w:rsidRDefault="000902D9" w:rsidP="00C8245D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177800</wp:posOffset>
            </wp:positionV>
            <wp:extent cx="4963795" cy="3371850"/>
            <wp:effectExtent l="19050" t="0" r="27305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154EF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activității comparative în diagramă</w:t>
      </w:r>
    </w:p>
    <w:p w:rsidR="003804F5" w:rsidRPr="00EB39B2" w:rsidRDefault="003804F5" w:rsidP="006C1DD3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Datele statistice pe cauzele penale  parvenite spre examinare în ordine de recurs din judecătoriile din circumscripţia Curţii de Apel Cahul și alte instanțe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Datele statistice pe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cauzele penale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parvenite spre examinare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în ordine de recurs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din fiecare judecătorie din circumscripţia Curţii de Apel Cahul şi alte instanțe, rezultatele examinării  în perioada </w:t>
      </w:r>
      <w:r w:rsidR="002755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luni a anului 201</w:t>
      </w:r>
      <w:r w:rsidR="002755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sînt următoarele:</w:t>
      </w:r>
    </w:p>
    <w:p w:rsidR="00E6354A" w:rsidRPr="00EB39B2" w:rsidRDefault="00895B4F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ab/>
      </w:r>
    </w:p>
    <w:p w:rsidR="00E6354A" w:rsidRPr="00EB39B2" w:rsidRDefault="00E6354A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Cahul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1 cauză mai mult ca și în aceeași perioada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 anului 2015, din care : </w:t>
      </w:r>
    </w:p>
    <w:p w:rsidR="00E6354A" w:rsidRPr="00EB39B2" w:rsidRDefault="00E6354A" w:rsidP="00E6354A">
      <w:pPr>
        <w:pStyle w:val="NoSpacing"/>
        <w:tabs>
          <w:tab w:val="left" w:pos="284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- menținute fără modificări –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18</w:t>
      </w:r>
      <w:r w:rsidR="00E56851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78,26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%), cu 1 cauză mai mult ca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în aceeași perioadă a anului 201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5.</w:t>
      </w:r>
    </w:p>
    <w:p w:rsidR="00E6354A" w:rsidRPr="00EB39B2" w:rsidRDefault="00E6354A" w:rsidP="00E6354A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   - casate cu pronunţarea unei noi hotărîri –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5</w:t>
      </w:r>
      <w:r w:rsidR="00E56851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21,74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la fel ca în aceeaşi perioadă a anului 2015.  </w:t>
      </w:r>
    </w:p>
    <w:p w:rsidR="00E6354A" w:rsidRPr="00EB39B2" w:rsidRDefault="00E6354A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E6354A" w:rsidRPr="00EB39B2" w:rsidRDefault="00E6354A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Leova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– examinate –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8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cu 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2015, din care: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 3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37,50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1 cauză mai mult ca în aceeaşi perioadă a anului 2015,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cu pronunţarea unei noi hotărîri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E56851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62,50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2 cauze mai mult ca în aceeaşi perioadă a anului 2015.</w:t>
      </w:r>
    </w:p>
    <w:p w:rsidR="00E6354A" w:rsidRPr="00EB39B2" w:rsidRDefault="00E6354A" w:rsidP="00E6354A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E6354A" w:rsidRPr="00EB39B2" w:rsidRDefault="00E6354A" w:rsidP="00E6354A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Cantemir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</w:t>
      </w:r>
      <w:r w:rsidR="00E8721B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10 cauze mai mult ca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aceeași perioada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 anului 2015, din care : </w:t>
      </w:r>
    </w:p>
    <w:p w:rsidR="00E6354A" w:rsidRPr="00EB39B2" w:rsidRDefault="00E6354A" w:rsidP="00E6354A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9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56,25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%), cu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2015,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casate cu pronunţarea unei noi hotărîri –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7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43,75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 , cu 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2015.</w:t>
      </w:r>
    </w:p>
    <w:p w:rsidR="00E6354A" w:rsidRPr="00EB39B2" w:rsidRDefault="00E6354A" w:rsidP="00E6354A">
      <w:pPr>
        <w:pStyle w:val="NoSpacing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E6354A" w:rsidRPr="00EB39B2" w:rsidRDefault="00E6354A" w:rsidP="00E6354A">
      <w:pPr>
        <w:pStyle w:val="NoSpacing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Taraclia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2015, din care: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12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0 %), cu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2015,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br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lastRenderedPageBreak/>
        <w:t>- casate cu pronunţarea unei noi hotărîri –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E6354A" w:rsidRPr="00EB39B2" w:rsidRDefault="00E6354A" w:rsidP="00E6354A">
      <w:pPr>
        <w:pStyle w:val="NoSpacing"/>
        <w:tabs>
          <w:tab w:val="left" w:pos="142"/>
          <w:tab w:val="left" w:pos="1134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E6354A" w:rsidRPr="00EB39B2" w:rsidRDefault="00E6354A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Comrat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cu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4B12C9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2015, din care: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2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66,6</w:t>
      </w:r>
      <w:r w:rsidR="004B12C9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2015,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casate cu pronunţarea unei noi hotărîri –</w:t>
      </w:r>
      <w:r w:rsidR="00E8721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A9103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33,33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</w:t>
      </w:r>
      <w:r w:rsidR="004B12C9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la fel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E6354A" w:rsidRPr="00EB39B2" w:rsidRDefault="00E6354A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E6354A" w:rsidRPr="00EB39B2" w:rsidRDefault="00E6354A" w:rsidP="00E6354A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Ceadîr-Lunga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194494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E8721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</w:t>
      </w:r>
      <w:r w:rsidR="00194494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8 cauze mai puțin ca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aceeași perioada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 anului 2015, din care : </w:t>
      </w:r>
    </w:p>
    <w:p w:rsidR="00E6354A" w:rsidRPr="00EB39B2" w:rsidRDefault="00E6354A" w:rsidP="00E6354A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194494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cu </w:t>
      </w:r>
      <w:r w:rsidR="00194494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194494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2015,</w:t>
      </w:r>
    </w:p>
    <w:p w:rsidR="00E6354A" w:rsidRPr="00EB39B2" w:rsidRDefault="00E6354A" w:rsidP="00E6354A">
      <w:pPr>
        <w:pStyle w:val="NoSpacing"/>
        <w:numPr>
          <w:ilvl w:val="0"/>
          <w:numId w:val="40"/>
        </w:numPr>
        <w:tabs>
          <w:tab w:val="left" w:pos="142"/>
          <w:tab w:val="left" w:pos="1134"/>
        </w:tabs>
        <w:ind w:left="851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casate cu pronunţarea unei noi hotărîri –</w:t>
      </w:r>
      <w:r w:rsidR="00194494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0F07C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cu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puțin ca în aceeaşi perioadă a anului 2015.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V. Examinarea în ordine de recurs ordinar a materialelor contravenţionale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br/>
        <w:t>(4r)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963D10" w:rsidRPr="00EB39B2" w:rsidRDefault="00963D10" w:rsidP="00963D10">
      <w:pPr>
        <w:pStyle w:val="NoSpacing"/>
        <w:tabs>
          <w:tab w:val="left" w:pos="142"/>
        </w:tabs>
        <w:ind w:left="465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  <w:t>Pe parcursul perioadei 3 luni a anului 2016 spre examinare la Curtea de Apel Cahul s-au aflat în procedură în total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100 materiale contravenționale, </w:t>
      </w:r>
    </w:p>
    <w:p w:rsidR="00963D10" w:rsidRPr="00F74D63" w:rsidRDefault="00963D10" w:rsidP="00963D10">
      <w:pPr>
        <w:pStyle w:val="NoSpacing"/>
        <w:ind w:left="4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32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963D10" w:rsidRPr="00F74D63" w:rsidRDefault="00963D10" w:rsidP="00963D10">
      <w:pPr>
        <w:pStyle w:val="NoSpacing"/>
        <w:ind w:left="4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68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din care fără soluționare în fond 2 cauze, strămutate la CSJ -5cauze</w:t>
      </w:r>
    </w:p>
    <w:p w:rsidR="00963D10" w:rsidRPr="00F74D63" w:rsidRDefault="00963D10" w:rsidP="00963D10">
      <w:pPr>
        <w:pStyle w:val="NoSpacing"/>
        <w:ind w:left="4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66 dosare.</w:t>
      </w:r>
    </w:p>
    <w:p w:rsidR="00963D10" w:rsidRPr="00F74D63" w:rsidRDefault="00963D10" w:rsidP="00963D10">
      <w:pPr>
        <w:pStyle w:val="NoSpacing"/>
        <w:ind w:left="4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27 dosare.</w:t>
      </w:r>
    </w:p>
    <w:p w:rsidR="00963D10" w:rsidRPr="00F74D63" w:rsidRDefault="00963D10" w:rsidP="00963D10">
      <w:pPr>
        <w:pStyle w:val="NoSpacing"/>
        <w:ind w:left="4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Rata de variație a stocului de cauze (raportul dintre cauzele noi înregistrate și cele pendinte la începutul perioadei raportate) constituie </w:t>
      </w:r>
      <w:r w:rsidR="000902D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97,06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963D10" w:rsidRPr="00F74D63" w:rsidRDefault="00963D10" w:rsidP="00963D10">
      <w:pPr>
        <w:pStyle w:val="NoSpacing"/>
        <w:ind w:left="46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9,4</w:t>
      </w:r>
      <w:r w:rsidR="00430DB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963D10" w:rsidRPr="00EB39B2" w:rsidRDefault="00963D10" w:rsidP="00963D10">
      <w:pPr>
        <w:pStyle w:val="NoSpacing"/>
        <w:tabs>
          <w:tab w:val="left" w:pos="142"/>
        </w:tabs>
        <w:ind w:left="465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963D10" w:rsidRPr="00F74D63" w:rsidRDefault="00963D10" w:rsidP="00963D10">
      <w:pPr>
        <w:pStyle w:val="NoSpacing"/>
        <w:ind w:left="46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În anul 2016 comparativ cu aceeași perioadă a anului 2015 numărul dosarelor pendinte la începutul perioadei raportate a înregistrat  o scădere cu 6 dosare.</w:t>
      </w:r>
    </w:p>
    <w:p w:rsidR="00963D10" w:rsidRPr="00F74D63" w:rsidRDefault="00963D10" w:rsidP="00963D10">
      <w:pPr>
        <w:pStyle w:val="NoSpacing"/>
        <w:ind w:left="46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au înregistrat o creștere cu 10 cauze. </w:t>
      </w:r>
    </w:p>
    <w:p w:rsidR="00963D10" w:rsidRPr="00EB39B2" w:rsidRDefault="00963D10" w:rsidP="00963D10">
      <w:pPr>
        <w:pStyle w:val="NoSpacing"/>
        <w:ind w:left="465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creștere cu  1 dosar, iar  cele pendinte o scădere cu  3 dosare. </w:t>
      </w:r>
    </w:p>
    <w:p w:rsidR="000902D9" w:rsidRPr="00F74D63" w:rsidRDefault="000902D9" w:rsidP="000902D9">
      <w:pPr>
        <w:pStyle w:val="NoSpacing"/>
        <w:ind w:left="465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0A4BA2" w:rsidRPr="006C1DD3" w:rsidRDefault="000902D9" w:rsidP="006C1DD3">
      <w:pPr>
        <w:pStyle w:val="NoSpacing"/>
        <w:ind w:left="465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179705</wp:posOffset>
            </wp:positionV>
            <wp:extent cx="4963795" cy="3352800"/>
            <wp:effectExtent l="19050" t="0" r="27305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63D10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</w:t>
      </w:r>
      <w:r w:rsid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ivității comparative în </w:t>
      </w:r>
      <w:proofErr w:type="spellStart"/>
      <w:r w:rsid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diagram</w:t>
      </w:r>
      <w:proofErr w:type="spellEnd"/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:rsidR="00895B4F" w:rsidRPr="006C1DD3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Datele statistice pe cauzele și materiale contravenținale parvenite spre examinare în ordine de recurs din judecătoriile din circumscripţia Curţii de Apel Cahul și alte instanțe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Datele statistice pe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cauzele și materiale contravenționale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parvenite spre examinare 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în ordine de recurs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din fiecare judecătorie din circumscripţia Curţii de Apel Cahul şi alte instanțe, rezultatele examinării  în perioada 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luni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sînt următoarele: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ab/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Cahul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65,85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. </w:t>
      </w:r>
    </w:p>
    <w:p w:rsidR="00895B4F" w:rsidRPr="00EB39B2" w:rsidRDefault="00895B4F" w:rsidP="00895B4F">
      <w:pPr>
        <w:numPr>
          <w:ilvl w:val="0"/>
          <w:numId w:val="40"/>
        </w:numPr>
        <w:ind w:hanging="15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4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e</w:t>
      </w:r>
      <w:r w:rsidR="00ED09B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34,1</w:t>
      </w:r>
      <w:r w:rsidR="003C6B4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Leova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ED09BC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</w:p>
    <w:p w:rsidR="00895B4F" w:rsidRPr="00EB39B2" w:rsidRDefault="00895B4F" w:rsidP="00895B4F">
      <w:p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  - casate–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 cu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puțin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Cantemir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6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 (Nr. persoane -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puțin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br/>
        <w:t xml:space="preserve">- menținute fără modificări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66,67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 cu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br/>
        <w:t xml:space="preserve">-casate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2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33,33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Taraclia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(Nr. persoane -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), cu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4B3673" w:rsidRPr="00EB39B2" w:rsidRDefault="00895B4F" w:rsidP="004B3673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cu 3 cauze mai puțin ca în aceeaşi perioadă a anului 2015,</w:t>
      </w:r>
    </w:p>
    <w:p w:rsidR="00895B4F" w:rsidRPr="00EB39B2" w:rsidRDefault="00895B4F" w:rsidP="00A91030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50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%), cu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ED09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mult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0A4BA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Comrat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5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 (Nr. persoane -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), cu</w:t>
      </w:r>
      <w:r w:rsidR="00ED09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</w:t>
      </w:r>
      <w:r w:rsidR="00ED09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0%), cu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mult ca în aceeaşi perioadă a anului 201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4B3673" w:rsidRPr="00EB39B2" w:rsidRDefault="00895B4F" w:rsidP="004B3673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0A4BA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0 %),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cu 3 cauze mai mult ca în aceeaşi perioadă a anului 2015,</w:t>
      </w:r>
    </w:p>
    <w:p w:rsidR="00895B4F" w:rsidRPr="00EB39B2" w:rsidRDefault="00895B4F" w:rsidP="004B3673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A4BA2" w:rsidRPr="00EB39B2" w:rsidRDefault="000A4BA2" w:rsidP="000A4BA2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Ceadîr-Lunga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ED09BC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 (Nr. persoane -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), cu</w:t>
      </w:r>
      <w:r w:rsidR="00ED09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0A4BA2" w:rsidRPr="00EB39B2" w:rsidRDefault="000A4BA2" w:rsidP="000A4BA2">
      <w:pPr>
        <w:pStyle w:val="NoSpacing"/>
        <w:numPr>
          <w:ilvl w:val="0"/>
          <w:numId w:val="40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</w:t>
      </w:r>
      <w:r w:rsidR="00ED09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33,33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%), cu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mult ca în aceeaşi perioadă a anului 201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4B3673" w:rsidRPr="00EB39B2" w:rsidRDefault="000A4BA2" w:rsidP="004B3673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4B3673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A2550D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66,67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cu 1 cauz</w:t>
      </w:r>
      <w:r w:rsidR="00ED09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="004B3673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 în aceeaşi perioadă a anului 2015,</w:t>
      </w:r>
    </w:p>
    <w:p w:rsidR="000A4BA2" w:rsidRPr="00EB39B2" w:rsidRDefault="000A4BA2" w:rsidP="004B3673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ab/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VI. Examinarea cauzelor civile de către Curtea de Apel Cahul</w:t>
      </w:r>
    </w:p>
    <w:p w:rsidR="00C44B69" w:rsidRPr="00EB39B2" w:rsidRDefault="00C44B69" w:rsidP="00C44B69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C44B69" w:rsidRPr="00EB39B2" w:rsidRDefault="00C44B69" w:rsidP="00C44B69">
      <w:pPr>
        <w:pStyle w:val="NoSpacing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Pe parcursul perioadei 3 luni a anului 2016 spre examinare la Curtea de Apel Cahul s-au aflat în procedură în total </w:t>
      </w:r>
      <w:r w:rsidR="00805D48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398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cauze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civile, dintre care (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civile în I instanţă-</w:t>
      </w:r>
      <w:r w:rsidR="00805D48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126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, civile în apel -</w:t>
      </w:r>
      <w:r w:rsidR="00805D48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216</w:t>
      </w:r>
      <w:r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, civile în recurs -</w:t>
      </w:r>
      <w:r w:rsidR="00805D48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56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)</w:t>
      </w:r>
    </w:p>
    <w:p w:rsidR="00C44B69" w:rsidRPr="00F74D63" w:rsidRDefault="00805D48" w:rsidP="00C44B69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231</w:t>
      </w:r>
      <w:r w:rsidR="00C44B6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cauze</w:t>
      </w:r>
      <w:r w:rsidR="00C44B69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C44B69" w:rsidRPr="00F74D63" w:rsidRDefault="00805D48" w:rsidP="00C44B69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167</w:t>
      </w:r>
      <w:r w:rsidR="00C112D9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C44B6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cauze</w:t>
      </w:r>
      <w:r w:rsidR="00C44B69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="00C44B69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din care fără soluționare în fond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22</w:t>
      </w:r>
      <w:r w:rsidR="00C44B69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cauze, strămutate la CSJ -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8</w:t>
      </w:r>
      <w:r w:rsidR="00C44B69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cauze</w:t>
      </w:r>
    </w:p>
    <w:p w:rsidR="00C44B69" w:rsidRPr="00F74D63" w:rsidRDefault="00C44B69" w:rsidP="00C44B69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="00805D48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148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C44B69" w:rsidRPr="00F74D63" w:rsidRDefault="00C44B69" w:rsidP="00C44B69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="00805D48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220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C44B69" w:rsidRPr="00F74D63" w:rsidRDefault="00C44B69" w:rsidP="00C44B69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lastRenderedPageBreak/>
        <w:tab/>
        <w:t xml:space="preserve">Rata de variație a stocului de cauze (raportul dintre cauzele noi înregistrate și cele pendinte la începutul perioadei raportate) constituie </w:t>
      </w:r>
      <w:r w:rsidR="00A34E76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88,62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C44B69" w:rsidRPr="00F74D63" w:rsidRDefault="00C44B69" w:rsidP="00C44B69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="007C750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2</w:t>
      </w:r>
      <w:r w:rsidR="00430DB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1,14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C44B69" w:rsidRPr="00EB39B2" w:rsidRDefault="00C44B69" w:rsidP="00C44B69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7C7509" w:rsidRPr="00F74D63" w:rsidRDefault="007C7509" w:rsidP="007C7509">
      <w:pPr>
        <w:pStyle w:val="NoSpacing"/>
        <w:ind w:left="46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În anul 2016 comparativ cu aceeași perioadă a anului 2015 numărul dosarelor pendinte la începutul perioadei raportate a înregistrat  o creștere cu 66 dosare.</w:t>
      </w:r>
    </w:p>
    <w:p w:rsidR="00C44B69" w:rsidRPr="00F74D63" w:rsidRDefault="00C44B69" w:rsidP="00C44B69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dimpotrivă au înregistrat o scădere cu </w:t>
      </w:r>
      <w:r w:rsidR="007C7509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136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cauze. </w:t>
      </w:r>
    </w:p>
    <w:p w:rsidR="00C44B69" w:rsidRPr="00EB39B2" w:rsidRDefault="00C44B69" w:rsidP="00C44B69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creștere cu  </w:t>
      </w:r>
      <w:r w:rsidR="007C7509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dosare, iar  cele pendinte o </w:t>
      </w:r>
      <w:r w:rsidR="007C7509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scădere 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 </w:t>
      </w:r>
      <w:r w:rsidR="007C7509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64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 </w:t>
      </w:r>
    </w:p>
    <w:p w:rsidR="000902D9" w:rsidRPr="00F74D63" w:rsidRDefault="000902D9" w:rsidP="000902D9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C44B69" w:rsidRPr="00F74D63" w:rsidRDefault="00C44B69" w:rsidP="000902D9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activității comparative în diagramă</w:t>
      </w:r>
    </w:p>
    <w:p w:rsidR="00A34E76" w:rsidRPr="00F74D63" w:rsidRDefault="00A34E76" w:rsidP="000902D9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C44B69" w:rsidRPr="00EB39B2" w:rsidRDefault="00A34E76" w:rsidP="002D4363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4445</wp:posOffset>
            </wp:positionV>
            <wp:extent cx="4963795" cy="3724275"/>
            <wp:effectExtent l="19050" t="0" r="27305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95B4F" w:rsidRPr="00EB39B2" w:rsidRDefault="00895B4F" w:rsidP="002D4363">
      <w:pPr>
        <w:pStyle w:val="NoSpacing"/>
        <w:tabs>
          <w:tab w:val="left" w:pos="142"/>
        </w:tabs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VII. Examinarea cauzelor civile în I instanţă de către Curtea de Apel Cahul</w:t>
      </w:r>
    </w:p>
    <w:p w:rsidR="00895B4F" w:rsidRPr="00EB39B2" w:rsidRDefault="00404571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(2e, 2i, 24r</w:t>
      </w:r>
      <w:r w:rsidR="00895B4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)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FF2CFE" w:rsidRPr="00F74D63" w:rsidRDefault="00895B4F" w:rsidP="00FF2CF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Pe parcursul </w:t>
      </w:r>
      <w:r w:rsidR="00194494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luni a anului 201</w:t>
      </w:r>
      <w:r w:rsidR="00194494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au parvenit spre examinare din instan</w:t>
      </w:r>
      <w:r w:rsidR="00194494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ț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ele de fond cauze civile în total în I instanţă </w:t>
      </w:r>
      <w:r w:rsidR="00FF2CFE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126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cauze, </w:t>
      </w:r>
      <w:r w:rsidR="00A1680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inclusiv </w:t>
      </w:r>
      <w:r w:rsidR="00A1680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107</w:t>
      </w:r>
      <w:r w:rsidR="00CC1911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cauze</w:t>
      </w:r>
      <w:r w:rsidR="00FF2CFE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</w:t>
      </w:r>
      <w:r w:rsidR="00A1680B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895B4F" w:rsidRPr="00EB39B2" w:rsidRDefault="00895B4F" w:rsidP="00FF2CFE">
      <w:pPr>
        <w:pStyle w:val="NoSpacing"/>
        <w:tabs>
          <w:tab w:val="left" w:pos="142"/>
        </w:tabs>
        <w:ind w:right="-1" w:firstLine="56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F74D63" w:rsidRDefault="00895B4F" w:rsidP="00895B4F">
      <w:pPr>
        <w:pStyle w:val="NoSpacing"/>
        <w:tabs>
          <w:tab w:val="left" w:pos="142"/>
        </w:tabs>
        <w:ind w:right="-1" w:firstLine="567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Din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numărul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cauzelor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examinate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30DB9" w:rsidRPr="00F74D63">
        <w:rPr>
          <w:rFonts w:ascii="Times New Roman" w:hAnsi="Times New Roman"/>
          <w:color w:val="000000" w:themeColor="text1"/>
          <w:sz w:val="24"/>
          <w:szCs w:val="24"/>
        </w:rPr>
        <w:t>11,11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%):</w:t>
      </w:r>
    </w:p>
    <w:p w:rsidR="00895B4F" w:rsidRPr="00F74D63" w:rsidRDefault="00895B4F" w:rsidP="00895B4F">
      <w:pPr>
        <w:pStyle w:val="NoSpacing"/>
        <w:numPr>
          <w:ilvl w:val="0"/>
          <w:numId w:val="21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respinse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cauze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30DB9" w:rsidRPr="00F74D63">
        <w:rPr>
          <w:rFonts w:ascii="Times New Roman" w:hAnsi="Times New Roman"/>
          <w:color w:val="000000" w:themeColor="text1"/>
          <w:sz w:val="24"/>
          <w:szCs w:val="24"/>
        </w:rPr>
        <w:t>14,29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%);</w:t>
      </w:r>
    </w:p>
    <w:p w:rsidR="00895B4F" w:rsidRPr="00F74D63" w:rsidRDefault="00895B4F" w:rsidP="00895B4F">
      <w:pPr>
        <w:pStyle w:val="NoSpacing"/>
        <w:numPr>
          <w:ilvl w:val="0"/>
          <w:numId w:val="21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admise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cauze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30DB9" w:rsidRPr="00F74D63">
        <w:rPr>
          <w:rFonts w:ascii="Times New Roman" w:hAnsi="Times New Roman"/>
          <w:color w:val="000000" w:themeColor="text1"/>
          <w:sz w:val="24"/>
          <w:szCs w:val="24"/>
        </w:rPr>
        <w:t>28,57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%);</w:t>
      </w:r>
    </w:p>
    <w:p w:rsidR="00895B4F" w:rsidRPr="00F74D63" w:rsidRDefault="00895B4F" w:rsidP="00895B4F">
      <w:pPr>
        <w:pStyle w:val="NoSpacing"/>
        <w:numPr>
          <w:ilvl w:val="0"/>
          <w:numId w:val="21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încetarea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procesului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cauze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30DB9" w:rsidRPr="00F74D63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%);</w:t>
      </w:r>
    </w:p>
    <w:p w:rsidR="00895B4F" w:rsidRPr="00F74D63" w:rsidRDefault="00895B4F" w:rsidP="00895B4F">
      <w:pPr>
        <w:pStyle w:val="NoSpacing"/>
        <w:numPr>
          <w:ilvl w:val="0"/>
          <w:numId w:val="21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scoase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de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pe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rol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cauze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95B4F" w:rsidRPr="00F74D63" w:rsidRDefault="00895B4F" w:rsidP="00895B4F">
      <w:pPr>
        <w:pStyle w:val="NoSpacing"/>
        <w:numPr>
          <w:ilvl w:val="0"/>
          <w:numId w:val="21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restituite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>cauze (</w:t>
      </w:r>
      <w:r w:rsidR="00430DB9" w:rsidRPr="00F74D63">
        <w:rPr>
          <w:rFonts w:ascii="Times New Roman" w:hAnsi="Times New Roman"/>
          <w:color w:val="000000" w:themeColor="text1"/>
          <w:sz w:val="24"/>
          <w:szCs w:val="24"/>
        </w:rPr>
        <w:t>7,14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%)</w:t>
      </w:r>
    </w:p>
    <w:p w:rsidR="00895B4F" w:rsidRPr="00F74D63" w:rsidRDefault="00895B4F" w:rsidP="00895B4F">
      <w:pPr>
        <w:pStyle w:val="NoSpacing"/>
        <w:numPr>
          <w:ilvl w:val="0"/>
          <w:numId w:val="21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transmise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altei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judecătorii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</w:p>
    <w:p w:rsidR="00895B4F" w:rsidRDefault="00895B4F" w:rsidP="00895B4F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Restanţa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constituie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</w:rPr>
        <w:t>cauze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30DB9" w:rsidRPr="00F74D63">
        <w:rPr>
          <w:rFonts w:ascii="Times New Roman" w:hAnsi="Times New Roman"/>
          <w:color w:val="000000" w:themeColor="text1"/>
          <w:sz w:val="24"/>
          <w:szCs w:val="24"/>
        </w:rPr>
        <w:t>88,89</w:t>
      </w:r>
      <w:r w:rsidRPr="00F74D63">
        <w:rPr>
          <w:rFonts w:ascii="Times New Roman" w:hAnsi="Times New Roman"/>
          <w:color w:val="000000" w:themeColor="text1"/>
          <w:sz w:val="24"/>
          <w:szCs w:val="24"/>
        </w:rPr>
        <w:t xml:space="preserve"> %);</w:t>
      </w:r>
    </w:p>
    <w:p w:rsidR="00EC1377" w:rsidRPr="00F74D63" w:rsidRDefault="00EC1377" w:rsidP="00895B4F">
      <w:pPr>
        <w:pStyle w:val="NoSpacing"/>
        <w:tabs>
          <w:tab w:val="left" w:pos="142"/>
        </w:tabs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5B4F" w:rsidRPr="00F74D63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895B4F" w:rsidRPr="00F74D63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VIII.  </w:t>
      </w:r>
      <w:proofErr w:type="spellStart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Examinarea</w:t>
      </w:r>
      <w:proofErr w:type="spellEnd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cauzelor</w:t>
      </w:r>
      <w:proofErr w:type="spellEnd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civile</w:t>
      </w:r>
      <w:proofErr w:type="spellEnd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în</w:t>
      </w:r>
      <w:proofErr w:type="spellEnd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ordine</w:t>
      </w:r>
      <w:proofErr w:type="spellEnd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apel</w:t>
      </w:r>
      <w:proofErr w:type="spellEnd"/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</w:t>
      </w:r>
    </w:p>
    <w:p w:rsidR="00386DC0" w:rsidRPr="00EB39B2" w:rsidRDefault="00895B4F" w:rsidP="00386DC0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(2a, 3a, 2a</w:t>
      </w:r>
      <w:r w:rsidR="002F20C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c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)</w:t>
      </w:r>
    </w:p>
    <w:p w:rsidR="00386DC0" w:rsidRPr="00EB39B2" w:rsidRDefault="00386DC0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FF2CFE" w:rsidRPr="00F74D63" w:rsidRDefault="00FF2CFE" w:rsidP="00FF2CF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Pe parcursul perioadei 3 luni a anului 2016 spre examinare la Curtea de Apel Cahul s-au aflat în procedură în total </w:t>
      </w:r>
      <w:r w:rsidR="00386DC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216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cauze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civile</w:t>
      </w:r>
      <w:r w:rsidR="00386DC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în ordine de apel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dintre care </w:t>
      </w:r>
      <w:r w:rsidR="00386DC0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(cauze civile în ordine de apel-142 </w:t>
      </w:r>
      <w:r w:rsidR="00386DC0" w:rsidRPr="00EB39B2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lastRenderedPageBreak/>
        <w:t xml:space="preserve">cauze, cauze de contencios administrativ în ordine de apel-47, cauze economice în ordine de apel-27 </w:t>
      </w:r>
      <w:r w:rsidR="00386DC0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107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cauze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FF2CFE" w:rsidRPr="00F74D63" w:rsidRDefault="00386DC0" w:rsidP="00FF2CF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109 </w:t>
      </w:r>
      <w:r w:rsidR="00FF2CFE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cauze</w:t>
      </w:r>
      <w:r w:rsidR="00FF2CFE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="00FF2CFE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din care fără soluționare în fond 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20</w:t>
      </w:r>
      <w:r w:rsidR="00FF2CFE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cauze, strămutate la CSJ -</w:t>
      </w:r>
      <w:r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7</w:t>
      </w:r>
      <w:r w:rsidR="00FF2CFE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cauze</w:t>
      </w:r>
    </w:p>
    <w:p w:rsidR="00FF2CFE" w:rsidRPr="00F74D63" w:rsidRDefault="00FF2CFE" w:rsidP="00FF2CF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="00386DC0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97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FF2CFE" w:rsidRPr="00F74D63" w:rsidRDefault="00FF2CFE" w:rsidP="00FF2CF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sfîrșitul</w:t>
      </w:r>
      <w:proofErr w:type="spellEnd"/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="00386DC0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92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FF2CFE" w:rsidRPr="00F74D63" w:rsidRDefault="00FF2CFE" w:rsidP="00FF2CF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Rata de variație a stocului de cauze (raportul dintre cauzele noi înregistrate și cele pendinte la începutul perioadei raportate) constituie </w:t>
      </w:r>
      <w:r w:rsidR="002D4363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88,99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FF2CFE" w:rsidRPr="00F74D63" w:rsidRDefault="00FF2CFE" w:rsidP="00FF2CFE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="00386DC0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</w:t>
      </w:r>
      <w:r w:rsidR="00430DB9"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3,86</w:t>
      </w:r>
      <w:r w:rsidRPr="00F74D6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FF2CFE" w:rsidRPr="00EB39B2" w:rsidRDefault="00FF2CFE" w:rsidP="00FF2CFE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FF2CFE" w:rsidRPr="00F74D63" w:rsidRDefault="00FF2CFE" w:rsidP="00FF2CFE">
      <w:pPr>
        <w:pStyle w:val="NoSpacing"/>
        <w:ind w:left="46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anul 2016 comparativ cu aceeași perioadă a anului 2015 numărul dosarelor pendinte la începutul perioadei raportate a înregistrat  o </w:t>
      </w:r>
      <w:r w:rsidR="00EC1377">
        <w:rPr>
          <w:rFonts w:ascii="Times New Roman" w:hAnsi="Times New Roman"/>
          <w:color w:val="000000" w:themeColor="text1"/>
          <w:sz w:val="24"/>
          <w:szCs w:val="24"/>
          <w:lang w:val="ro-RO"/>
        </w:rPr>
        <w:t>scădere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</w:t>
      </w:r>
      <w:r w:rsidR="00EC1377">
        <w:rPr>
          <w:rFonts w:ascii="Times New Roman" w:hAnsi="Times New Roman"/>
          <w:color w:val="000000" w:themeColor="text1"/>
          <w:sz w:val="24"/>
          <w:szCs w:val="24"/>
          <w:lang w:val="ro-RO"/>
        </w:rPr>
        <w:t>39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</w:t>
      </w:r>
    </w:p>
    <w:p w:rsidR="00FF2CFE" w:rsidRPr="00F74D63" w:rsidRDefault="00FF2CFE" w:rsidP="00FF2CF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au înregistrat o scădere cu </w:t>
      </w:r>
      <w:r w:rsidR="000D1DB2">
        <w:rPr>
          <w:rFonts w:ascii="Times New Roman" w:hAnsi="Times New Roman"/>
          <w:color w:val="000000" w:themeColor="text1"/>
          <w:sz w:val="24"/>
          <w:szCs w:val="24"/>
          <w:lang w:val="ro-RO"/>
        </w:rPr>
        <w:t>45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D1DB2">
        <w:rPr>
          <w:rFonts w:ascii="Times New Roman" w:hAnsi="Times New Roman"/>
          <w:color w:val="000000" w:themeColor="text1"/>
          <w:sz w:val="24"/>
          <w:szCs w:val="24"/>
          <w:lang w:val="ro-RO"/>
        </w:rPr>
        <w:t>dosare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</w:p>
    <w:p w:rsidR="00FF2CFE" w:rsidRPr="00EB39B2" w:rsidRDefault="00FF2CFE" w:rsidP="00FF2CFE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</w:t>
      </w:r>
      <w:r w:rsidR="000D1DB2">
        <w:rPr>
          <w:rFonts w:ascii="Times New Roman" w:hAnsi="Times New Roman"/>
          <w:color w:val="000000" w:themeColor="text1"/>
          <w:sz w:val="24"/>
          <w:szCs w:val="24"/>
          <w:lang w:val="ro-RO"/>
        </w:rPr>
        <w:t>scăder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e cu  </w:t>
      </w:r>
      <w:r w:rsidR="000D1DB2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dosare, iar  cele pendinte o scădere cu  </w:t>
      </w:r>
      <w:r w:rsidR="000D1DB2">
        <w:rPr>
          <w:rFonts w:ascii="Times New Roman" w:hAnsi="Times New Roman"/>
          <w:color w:val="000000" w:themeColor="text1"/>
          <w:sz w:val="24"/>
          <w:szCs w:val="24"/>
          <w:lang w:val="ro-RO"/>
        </w:rPr>
        <w:t>70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 </w:t>
      </w:r>
    </w:p>
    <w:p w:rsidR="002D4363" w:rsidRPr="00F74D63" w:rsidRDefault="002D4363" w:rsidP="002D4363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highlight w:val="yellow"/>
          <w:lang w:val="ro-RO"/>
        </w:rPr>
      </w:pPr>
    </w:p>
    <w:p w:rsidR="00895B4F" w:rsidRPr="006C1DD3" w:rsidRDefault="002D4363" w:rsidP="006C1DD3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307975</wp:posOffset>
            </wp:positionV>
            <wp:extent cx="5324475" cy="3228975"/>
            <wp:effectExtent l="19050" t="0" r="9525" b="0"/>
            <wp:wrapTopAndBottom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FF2CFE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activității comparative în diagramă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  <w:t>În Judecătoriile din circumscripţia Curţii de Apel Cahul și alte instanțe procentul de casare a hotărîrilor atacate cu cereri de apel este următorul: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Cahul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B15B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13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puțin ca în aceeaşi perioadă a anului 201</w:t>
      </w:r>
      <w:r w:rsidR="007C0E8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70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</w:t>
      </w:r>
      <w:r w:rsidR="00352B2E">
        <w:rPr>
          <w:rFonts w:ascii="Times New Roman" w:hAnsi="Times New Roman"/>
          <w:color w:val="000000" w:themeColor="text1"/>
          <w:sz w:val="24"/>
          <w:szCs w:val="24"/>
          <w:lang w:val="ro-RO"/>
        </w:rPr>
        <w:t>, cu 1 cauză mai puțin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895B4F" w:rsidRPr="00EB39B2" w:rsidRDefault="00895B4F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11</w:t>
      </w:r>
      <w:r w:rsidR="00352B2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e</w:t>
      </w:r>
      <w:r w:rsidR="000D1DB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27,50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</w:t>
      </w:r>
      <w:r w:rsidR="00352B2E">
        <w:rPr>
          <w:rFonts w:ascii="Times New Roman" w:hAnsi="Times New Roman"/>
          <w:color w:val="000000" w:themeColor="text1"/>
          <w:sz w:val="24"/>
          <w:szCs w:val="24"/>
          <w:lang w:val="ro-RO"/>
        </w:rPr>
        <w:t>, cu 10 cauze mai puțin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895B4F" w:rsidRPr="00EB39B2" w:rsidRDefault="000D1DB2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modificate –1 cauză </w:t>
      </w:r>
      <w:r w:rsidR="00895B4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(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2,50</w:t>
      </w:r>
      <w:r w:rsidR="00895B4F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</w:t>
      </w:r>
      <w:r w:rsidR="00352B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cu 2 cauze mai puțin 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7C0E8B" w:rsidRPr="00EB39B2" w:rsidRDefault="007C0E8B" w:rsidP="007C0E8B">
      <w:p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Leova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B15B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6</w:t>
      </w:r>
      <w:r w:rsidR="000D1DB2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 (54,55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4 cauze mai mult ca în aceeaşi perioadă a anului 2015.</w:t>
      </w:r>
    </w:p>
    <w:p w:rsidR="00352B2E" w:rsidRPr="00EB39B2" w:rsidRDefault="00895B4F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(45,45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3 cauze mai mult ca în aceeaşi perioadă a anului 2015.</w:t>
      </w:r>
    </w:p>
    <w:p w:rsidR="00352B2E" w:rsidRPr="00EB39B2" w:rsidRDefault="00352B2E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modificate – 0 cauze, cu 1 cauză mai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puțin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7C0E8B" w:rsidRPr="00EB39B2" w:rsidRDefault="007C0E8B" w:rsidP="00352B2E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352B2E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Cantemir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B15B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br/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lastRenderedPageBreak/>
        <w:t xml:space="preserve">      -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9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(45 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%), cu 1 cauză mai mult ca în aceeaşi perioadă a anului 2015.</w:t>
      </w:r>
    </w:p>
    <w:p w:rsidR="00352B2E" w:rsidRPr="00EB39B2" w:rsidRDefault="00895B4F" w:rsidP="00352B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11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(55</w:t>
      </w:r>
      <w:r w:rsidR="00352B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 3 cauze mai mult ca în aceeaşi perioadă a anului 2015.</w:t>
      </w:r>
    </w:p>
    <w:p w:rsidR="00352B2E" w:rsidRPr="00EB39B2" w:rsidRDefault="00352B2E" w:rsidP="00352B2E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modificate – 0 cauze,cu 2 cauze mai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7C0E8B" w:rsidRPr="00EB39B2" w:rsidRDefault="007C0E8B" w:rsidP="00352B2E">
      <w:pPr>
        <w:tabs>
          <w:tab w:val="left" w:pos="142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Taraclia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puțin ca în aceeaşi perioadă a anului 201</w:t>
      </w:r>
      <w:r w:rsidR="00B15B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(50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>, cu 4 cauze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>puțin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0B272E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(50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%), cu 1 cauză mai mult ca în aceeaşi perioadă a anului 2015.</w:t>
      </w:r>
    </w:p>
    <w:p w:rsidR="000B272E" w:rsidRPr="00EB39B2" w:rsidRDefault="000B272E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modificate – 0 cauze, cu 1 cauză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mai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7C0E8B" w:rsidRPr="00EB39B2" w:rsidRDefault="007C0E8B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Comrat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13</w:t>
      </w:r>
      <w:r w:rsidR="000D1D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cauze, cu</w:t>
      </w:r>
      <w:r w:rsidR="000D1D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B15B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61,54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%),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7 cauze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mai mult ca în aceeaşi perioadă a anului 2015.</w:t>
      </w:r>
    </w:p>
    <w:p w:rsidR="000B272E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(38,46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3 cauze mai puțin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0B272E" w:rsidRPr="00EB39B2" w:rsidRDefault="000B272E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modificate – 0 cauze, la fel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895B4F" w:rsidRPr="00EB39B2" w:rsidRDefault="00895B4F" w:rsidP="000B272E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B15BB2" w:rsidRPr="00EB39B2" w:rsidRDefault="00B15BB2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Ce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ad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â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r-Lunga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0D1D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cauze, cu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B15B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(80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%),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3 cauze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mai mult ca în aceeaşi perioadă a anului 2015.</w:t>
      </w:r>
    </w:p>
    <w:p w:rsidR="000B272E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20</w:t>
      </w:r>
      <w:r w:rsidR="007C0E8B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la fel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895B4F" w:rsidRPr="000B272E" w:rsidRDefault="000B272E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modificate - 0 cauze, la fel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7C0E8B" w:rsidRPr="00EB39B2" w:rsidRDefault="007C0E8B" w:rsidP="007C0E8B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Vulcănești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– examinate –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0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cauze, cu</w:t>
      </w:r>
      <w:r w:rsidR="000D1D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puțin ca în aceeaşi perioadă a anului 201</w:t>
      </w:r>
      <w:r w:rsidR="000D1DB2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0054F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2 cauze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mai 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>puțin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0B272E" w:rsidRPr="00EB39B2" w:rsidRDefault="00895B4F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B15BB2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1 cauză 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mai </w:t>
      </w:r>
      <w:r w:rsidR="000B272E">
        <w:rPr>
          <w:rFonts w:ascii="Times New Roman" w:hAnsi="Times New Roman"/>
          <w:color w:val="000000" w:themeColor="text1"/>
          <w:sz w:val="24"/>
          <w:szCs w:val="24"/>
          <w:lang w:val="ro-RO"/>
        </w:rPr>
        <w:t>puțin</w:t>
      </w:r>
      <w:r w:rsidR="000B272E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2015.</w:t>
      </w:r>
    </w:p>
    <w:p w:rsidR="000B272E" w:rsidRPr="000B272E" w:rsidRDefault="000B272E" w:rsidP="000B272E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modificate - 0 cauze, la fel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2015.</w:t>
      </w:r>
    </w:p>
    <w:p w:rsidR="00895B4F" w:rsidRPr="000B272E" w:rsidRDefault="00895B4F" w:rsidP="000B272E">
      <w:pPr>
        <w:pStyle w:val="NoSpacing"/>
        <w:tabs>
          <w:tab w:val="left" w:pos="142"/>
        </w:tabs>
        <w:ind w:left="360" w:right="-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D4363" w:rsidRPr="00F74D63" w:rsidRDefault="002D4363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895B4F" w:rsidRPr="006C1DD3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IX.  Examinarea cauzelor civile în ordine de recurs</w:t>
      </w:r>
    </w:p>
    <w:p w:rsidR="00895B4F" w:rsidRPr="006C1DD3" w:rsidRDefault="00895B4F" w:rsidP="00895B4F">
      <w:pPr>
        <w:pStyle w:val="NoSpacing"/>
        <w:tabs>
          <w:tab w:val="left" w:pos="142"/>
        </w:tabs>
        <w:ind w:right="-1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(2r,3r,2r</w:t>
      </w:r>
      <w:r w:rsidR="002F20CF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,2rh,</w:t>
      </w:r>
      <w:r w:rsidR="00AA44EA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3rh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)</w:t>
      </w:r>
    </w:p>
    <w:p w:rsidR="00B15BB2" w:rsidRPr="006C1DD3" w:rsidRDefault="00B15BB2" w:rsidP="000F485F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15BB2" w:rsidRPr="006C1DD3" w:rsidRDefault="00B15BB2" w:rsidP="00B15BB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parcursul perioadei 3 luni a anului 2016 spre examinare la Curtea de Apel Cahul s-au aflat în procedură în total </w:t>
      </w:r>
      <w:r w:rsidR="000F485F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56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cauze</w:t>
      </w: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civile  în ordine de recurs, dintre care (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cauze civile în ordine de recurs -</w:t>
      </w:r>
      <w:r w:rsidR="000F485F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38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, cauze de contencios administrativ în ordine de recurs –</w:t>
      </w:r>
      <w:r w:rsidR="000F485F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8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, cauze economice în ordine de recurs-3, revizuirea hotărîrilor pe cauze economice -</w:t>
      </w:r>
      <w:r w:rsidR="000F485F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, revizuirea pe cauzele civile-</w:t>
      </w:r>
      <w:r w:rsidR="000F485F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5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, revizuirea </w:t>
      </w:r>
      <w:proofErr w:type="spellStart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hotîrîrilor</w:t>
      </w:r>
      <w:proofErr w:type="spellEnd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în contencios administrativ – </w:t>
      </w:r>
      <w:r w:rsidR="000F485F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2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, cauze privind </w:t>
      </w:r>
      <w:proofErr w:type="spellStart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recunoaşterea</w:t>
      </w:r>
      <w:proofErr w:type="spellEnd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şi</w:t>
      </w:r>
      <w:proofErr w:type="spellEnd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executarea hotărîrilor </w:t>
      </w:r>
      <w:proofErr w:type="spellStart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judecătoreşti</w:t>
      </w:r>
      <w:proofErr w:type="spellEnd"/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străine pe cauze civile-</w:t>
      </w:r>
      <w:r w:rsidR="000F485F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</w:t>
      </w: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) </w:t>
      </w:r>
    </w:p>
    <w:p w:rsidR="00B15BB2" w:rsidRPr="006C1DD3" w:rsidRDefault="00B15BB2" w:rsidP="00B15BB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</w:t>
      </w:r>
      <w:r w:rsidR="000F485F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7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cauze</w:t>
      </w: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pendinte la începutul perioadei raportate,</w:t>
      </w:r>
    </w:p>
    <w:p w:rsidR="00B15BB2" w:rsidRPr="006C1DD3" w:rsidRDefault="000F485F" w:rsidP="00B15BB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39</w:t>
      </w:r>
      <w:r w:rsidR="00B15BB2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cauze</w:t>
      </w:r>
      <w:r w:rsidR="00B15BB2"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noi înregistrate, </w:t>
      </w:r>
      <w:r w:rsidR="00B15BB2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din care fără soluționare în fond 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1</w:t>
      </w:r>
      <w:r w:rsidR="00B15BB2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cauz</w:t>
      </w:r>
      <w:r w:rsidR="000B272E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ă</w:t>
      </w:r>
      <w:r w:rsidR="00B15BB2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, strămutate la CSJ -</w:t>
      </w:r>
      <w:r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1</w:t>
      </w:r>
      <w:r w:rsidR="00B15BB2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cauz</w:t>
      </w:r>
      <w:r w:rsidR="00372235" w:rsidRPr="006C1DD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ă</w:t>
      </w:r>
    </w:p>
    <w:p w:rsidR="00B15BB2" w:rsidRPr="006C1DD3" w:rsidRDefault="00B15BB2" w:rsidP="00B15BB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Din totalul dosarelor aflate în procedură au fost  soluționate–</w:t>
      </w:r>
      <w:r w:rsidR="000F485F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38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B15BB2" w:rsidRPr="006C1DD3" w:rsidRDefault="00B15BB2" w:rsidP="00B15BB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dosarelor pendinte la </w:t>
      </w:r>
      <w:proofErr w:type="spellStart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sfîrșitul</w:t>
      </w:r>
      <w:proofErr w:type="spellEnd"/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perioadei raportate constituie </w:t>
      </w:r>
      <w:r w:rsidR="000F485F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16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B15BB2" w:rsidRPr="006C1DD3" w:rsidRDefault="00B15BB2" w:rsidP="00B15BB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Rata de variație a stocului de cauze (raportul dintre cauzele noi înregistrate și cele pendinte la începutul perioadei raportate) constituie </w:t>
      </w:r>
      <w:r w:rsidR="006B7BC6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97,44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%.</w:t>
      </w:r>
    </w:p>
    <w:p w:rsidR="00B15BB2" w:rsidRPr="006C1DD3" w:rsidRDefault="00B15BB2" w:rsidP="00B15BB2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 xml:space="preserve">Numărul de cauze penale examinate de un judecător în mediu  constituie </w:t>
      </w:r>
      <w:r w:rsidR="00430DB9"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5,43</w:t>
      </w:r>
      <w:r w:rsidRPr="006C1DD3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dosare.</w:t>
      </w:r>
    </w:p>
    <w:p w:rsidR="00B15BB2" w:rsidRPr="006C1DD3" w:rsidRDefault="00B15BB2" w:rsidP="00B15BB2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15BB2" w:rsidRPr="006C1DD3" w:rsidRDefault="00B15BB2" w:rsidP="00B15BB2">
      <w:pPr>
        <w:pStyle w:val="NoSpacing"/>
        <w:ind w:left="46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anul 2016 comparativ cu aceeași perioadă a anului 2015 numărul dosarelor pendinte la începutul perioadei raportate a înregistrat  o creștere cu </w:t>
      </w:r>
      <w:r w:rsidR="000F485F"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</w:t>
      </w:r>
    </w:p>
    <w:p w:rsidR="00B15BB2" w:rsidRPr="006C1DD3" w:rsidRDefault="00B15BB2" w:rsidP="00B15BB2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Dosarele noi înregistrate dimpotrivă au înregistrat o scădere cu 6 </w:t>
      </w:r>
      <w:r w:rsidR="00372235"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>dosare</w:t>
      </w: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</w:p>
    <w:p w:rsidR="00B15BB2" w:rsidRPr="00EB39B2" w:rsidRDefault="00B15BB2" w:rsidP="00B15BB2">
      <w:pPr>
        <w:pStyle w:val="NoSpacing"/>
        <w:ind w:firstLine="720"/>
        <w:rPr>
          <w:rFonts w:ascii="Times New Roman" w:hAnsi="Times New Roman"/>
          <w:bCs/>
          <w:color w:val="000000" w:themeColor="text1"/>
          <w:szCs w:val="28"/>
          <w:lang w:val="it-IT"/>
        </w:rPr>
      </w:pPr>
      <w:r w:rsidRPr="006C1DD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Cauze soluționate ne indică o creștere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 </w:t>
      </w:r>
      <w:r w:rsidR="000F485F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dosare, iar  cele pendinte o scădere cu  </w:t>
      </w:r>
      <w:r w:rsidR="000F485F"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 w:rsidRPr="00F74D6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dosare. </w:t>
      </w:r>
    </w:p>
    <w:p w:rsidR="006B7BC6" w:rsidRPr="00F74D63" w:rsidRDefault="006B7BC6" w:rsidP="006B7BC6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</w:p>
    <w:p w:rsidR="008C7FD2" w:rsidRPr="006C1DD3" w:rsidRDefault="006B7BC6" w:rsidP="006C1DD3">
      <w:pPr>
        <w:pStyle w:val="NoSpacing"/>
        <w:ind w:firstLine="720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</w:pPr>
      <w:r w:rsidRPr="00F74D63">
        <w:rPr>
          <w:rFonts w:ascii="Times New Roman" w:hAnsi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179705</wp:posOffset>
            </wp:positionV>
            <wp:extent cx="5286375" cy="3971925"/>
            <wp:effectExtent l="19050" t="0" r="9525" b="0"/>
            <wp:wrapTopAndBottom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B15BB2" w:rsidRPr="00F74D6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Analiza activității comparative în diagramă</w:t>
      </w:r>
    </w:p>
    <w:p w:rsidR="00895B4F" w:rsidRPr="00EB39B2" w:rsidRDefault="00895B4F" w:rsidP="003C6590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>În Judecătoriile din circumscripţia Curţii de Apel Cahul și alte instanțe procentul de casare a hotărîrilor atacate este următorul: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ro-RO"/>
        </w:rPr>
        <w:br/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Cahul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</w:t>
      </w:r>
      <w:r w:rsidR="003C659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la f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el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895B4F" w:rsidRPr="00EB39B2" w:rsidRDefault="00895B4F" w:rsidP="003C6590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7</w:t>
      </w:r>
      <w:r w:rsidR="003C659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46</w:t>
      </w:r>
      <w:r w:rsidR="00F85B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67</w:t>
      </w:r>
      <w:r w:rsidR="003C659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%), cu 1 cauză mai puțin ca în aceeaşi perioadă a anului 2015,</w:t>
      </w:r>
    </w:p>
    <w:p w:rsidR="00895B4F" w:rsidRPr="00EB39B2" w:rsidRDefault="00895B4F" w:rsidP="003C6590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casate</w:t>
      </w:r>
      <w:r w:rsidR="003C6590" w:rsidRP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8</w:t>
      </w:r>
      <w:r w:rsidR="00372235" w:rsidRPr="003C6590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P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>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53,33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</w:t>
      </w:r>
      <w:r w:rsid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cu 1 cauză </w:t>
      </w:r>
      <w:r w:rsidR="003C659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mai mult ca în aceeaşi perioadă a anului 2015</w:t>
      </w:r>
    </w:p>
    <w:p w:rsidR="003C6590" w:rsidRPr="00EB39B2" w:rsidRDefault="003C6590" w:rsidP="003C6590">
      <w:pPr>
        <w:pStyle w:val="NoSpacing"/>
        <w:tabs>
          <w:tab w:val="left" w:pos="142"/>
        </w:tabs>
        <w:ind w:left="36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Leova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F2484A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menținute fără modificări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1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="00F2484A">
        <w:rPr>
          <w:rFonts w:ascii="Times New Roman" w:hAnsi="Times New Roman"/>
          <w:color w:val="000000" w:themeColor="text1"/>
          <w:sz w:val="24"/>
          <w:szCs w:val="24"/>
          <w:lang w:val="ro-RO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33,33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</w:t>
      </w:r>
      <w:r w:rsidR="00F248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cu 1 cauză 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mai puțin ca în aceeaşi perioadă a anului 2015,</w:t>
      </w:r>
    </w:p>
    <w:p w:rsidR="00895B4F" w:rsidRPr="00EB39B2" w:rsidRDefault="00895B4F" w:rsidP="00895B4F">
      <w:pPr>
        <w:tabs>
          <w:tab w:val="left" w:pos="142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  - casate–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66,67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la fel ca în aceeaşi perioadă a anului 2015.</w:t>
      </w:r>
    </w:p>
    <w:p w:rsidR="00895B4F" w:rsidRPr="00EB39B2" w:rsidRDefault="00895B4F" w:rsidP="00895B4F">
      <w:pPr>
        <w:tabs>
          <w:tab w:val="left" w:pos="142"/>
        </w:tabs>
        <w:spacing w:after="0"/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Cantemir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– examinate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8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br/>
        <w:t xml:space="preserve">- menținute fără modificări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F85B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62,50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</w:t>
      </w:r>
      <w:r w:rsidR="00F248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4 cauze 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mai mult ca în aceeaşi perioadă a anului 2015</w:t>
      </w:r>
    </w:p>
    <w:p w:rsidR="00895B4F" w:rsidRPr="00EB39B2" w:rsidRDefault="00895B4F" w:rsidP="00895B4F">
      <w:pPr>
        <w:tabs>
          <w:tab w:val="left" w:pos="142"/>
        </w:tabs>
        <w:spacing w:after="0"/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-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F85BBC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37,50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 cu</w:t>
      </w:r>
      <w:r w:rsidR="00F248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1 cauză 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mai puțin ca în aceeaşi perioadă a anului 2015</w:t>
      </w:r>
    </w:p>
    <w:p w:rsidR="00F2484A" w:rsidRPr="00EB39B2" w:rsidRDefault="00F2484A" w:rsidP="00895B4F">
      <w:pPr>
        <w:tabs>
          <w:tab w:val="left" w:pos="142"/>
        </w:tabs>
        <w:spacing w:after="0"/>
        <w:ind w:left="567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Taraclia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4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puțin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 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3C6590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25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</w:t>
      </w:r>
      <w:r w:rsidR="00F248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la fel ca în aceeaşi perioadă a anului 2015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0F485F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75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%), cu 3 cauză mai puțin ca în aceeaşi perioadă a anului 2015</w:t>
      </w:r>
    </w:p>
    <w:p w:rsidR="00F2484A" w:rsidRPr="00EB39B2" w:rsidRDefault="00F2484A" w:rsidP="00F2484A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Judecătoria Comrat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3C659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cauze, cu</w:t>
      </w:r>
      <w:r w:rsidR="003C659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F2484A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mult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 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3C6590" w:rsidRPr="00EB39B2" w:rsidRDefault="003C6590" w:rsidP="00F2484A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 1 cauză (50 %)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cu </w:t>
      </w:r>
      <w:r w:rsidR="00F2484A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mult ca în aceeaşi perioadă a anului 2015,</w:t>
      </w:r>
    </w:p>
    <w:p w:rsidR="00F2484A" w:rsidRPr="00EB39B2" w:rsidRDefault="00895B4F" w:rsidP="00F2484A">
      <w:pPr>
        <w:pStyle w:val="NoSpacing"/>
        <w:numPr>
          <w:ilvl w:val="0"/>
          <w:numId w:val="40"/>
        </w:numPr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lastRenderedPageBreak/>
        <w:t xml:space="preserve">casate – 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0 %),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cu </w:t>
      </w:r>
      <w:r w:rsidR="00F2484A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mult ca în aceeaşi perioadă a anului 2015,</w:t>
      </w:r>
    </w:p>
    <w:p w:rsidR="00895B4F" w:rsidRPr="00EB39B2" w:rsidRDefault="00895B4F" w:rsidP="00F2484A">
      <w:pPr>
        <w:pStyle w:val="NoSpacing"/>
        <w:tabs>
          <w:tab w:val="left" w:pos="142"/>
        </w:tabs>
        <w:ind w:left="720"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3C6590" w:rsidRPr="00EB39B2" w:rsidRDefault="003C6590" w:rsidP="003C6590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Judecătoria C</w:t>
      </w:r>
      <w:r w:rsidR="007C0E8B"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e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>adîr-Lunga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3C659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="003C659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 la fel ca 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1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</w:t>
      </w:r>
      <w:r w:rsidR="003C6590">
        <w:rPr>
          <w:rFonts w:ascii="Times New Roman" w:hAnsi="Times New Roman"/>
          <w:color w:val="000000" w:themeColor="text1"/>
          <w:sz w:val="24"/>
          <w:szCs w:val="24"/>
          <w:lang w:val="ro-RO"/>
        </w:rPr>
        <w:t>ă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(</w:t>
      </w:r>
      <w:r w:rsidR="00F2484A">
        <w:rPr>
          <w:rFonts w:ascii="Times New Roman" w:hAnsi="Times New Roman"/>
          <w:color w:val="000000" w:themeColor="text1"/>
          <w:sz w:val="24"/>
          <w:szCs w:val="24"/>
          <w:lang w:val="ro-RO"/>
        </w:rPr>
        <w:t>100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%),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cu </w:t>
      </w:r>
      <w:r w:rsidR="00F2484A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mult ca în aceeaşi perioadă a anului 2015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cu </w:t>
      </w:r>
      <w:r w:rsidR="00F2484A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1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cauză mai puțin ca în aceeaşi perioadă a anului 2015</w:t>
      </w:r>
    </w:p>
    <w:p w:rsidR="003C6590" w:rsidRPr="00EB39B2" w:rsidRDefault="003C6590" w:rsidP="003C6590">
      <w:pPr>
        <w:pStyle w:val="NoSpacing"/>
        <w:tabs>
          <w:tab w:val="left" w:pos="142"/>
        </w:tabs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t-IT"/>
        </w:rPr>
        <w:t xml:space="preserve">Curtea de Apel Cahul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– examinate –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="003C659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cauze,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cu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3C659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cauz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e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mai mult ca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în aceeaşi perioadă a anului 201</w:t>
      </w:r>
      <w:r w:rsidR="005F6BB0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,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menținute fără modificări –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5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(</w:t>
      </w:r>
      <w:r w:rsidR="00F85BBC">
        <w:rPr>
          <w:rFonts w:ascii="Times New Roman" w:hAnsi="Times New Roman"/>
          <w:color w:val="000000" w:themeColor="text1"/>
          <w:sz w:val="24"/>
          <w:szCs w:val="24"/>
          <w:lang w:val="ro-RO"/>
        </w:rPr>
        <w:t>10</w:t>
      </w: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>0 %),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cu </w:t>
      </w:r>
      <w:r w:rsidR="00F2484A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3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 mai mult ca în aceeaşi perioadă a anului 2015</w:t>
      </w:r>
    </w:p>
    <w:p w:rsidR="00895B4F" w:rsidRPr="00EB39B2" w:rsidRDefault="00895B4F" w:rsidP="00895B4F">
      <w:pPr>
        <w:pStyle w:val="NoSpacing"/>
        <w:numPr>
          <w:ilvl w:val="0"/>
          <w:numId w:val="40"/>
        </w:numPr>
        <w:tabs>
          <w:tab w:val="left" w:pos="142"/>
        </w:tabs>
        <w:ind w:right="-1" w:hanging="153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casate – </w:t>
      </w:r>
      <w:r w:rsidR="005F6BB0" w:rsidRPr="00EB39B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0</w:t>
      </w:r>
      <w:r w:rsidR="00F2484A" w:rsidRPr="00EB39B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cauze, la fel ca în aceeaşi perioadă a anului 2015</w:t>
      </w: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895B4F" w:rsidRPr="00EB39B2" w:rsidRDefault="00895B4F" w:rsidP="00895B4F">
      <w:pPr>
        <w:pStyle w:val="NoSpacing"/>
        <w:tabs>
          <w:tab w:val="left" w:pos="142"/>
        </w:tabs>
        <w:ind w:right="-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6D6123" w:rsidRPr="00EB39B2" w:rsidRDefault="006D6123" w:rsidP="005F6BB0">
      <w:pPr>
        <w:tabs>
          <w:tab w:val="left" w:pos="142"/>
        </w:tabs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sectPr w:rsidR="006D6123" w:rsidRPr="00EB39B2" w:rsidSect="006C1DD3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24" w:rsidRDefault="00961524" w:rsidP="004C4093">
      <w:pPr>
        <w:spacing w:after="0" w:line="240" w:lineRule="auto"/>
      </w:pPr>
      <w:r>
        <w:separator/>
      </w:r>
    </w:p>
  </w:endnote>
  <w:endnote w:type="continuationSeparator" w:id="0">
    <w:p w:rsidR="00961524" w:rsidRDefault="00961524" w:rsidP="004C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24" w:rsidRDefault="00961524" w:rsidP="004C4093">
      <w:pPr>
        <w:spacing w:after="0" w:line="240" w:lineRule="auto"/>
      </w:pPr>
      <w:r>
        <w:separator/>
      </w:r>
    </w:p>
  </w:footnote>
  <w:footnote w:type="continuationSeparator" w:id="0">
    <w:p w:rsidR="00961524" w:rsidRDefault="00961524" w:rsidP="004C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9E5"/>
    <w:multiLevelType w:val="hybridMultilevel"/>
    <w:tmpl w:val="F67A5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648"/>
    <w:multiLevelType w:val="hybridMultilevel"/>
    <w:tmpl w:val="BE32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644E"/>
    <w:multiLevelType w:val="hybridMultilevel"/>
    <w:tmpl w:val="B6E4E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AE14D8"/>
    <w:multiLevelType w:val="hybridMultilevel"/>
    <w:tmpl w:val="9CA4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61"/>
    <w:multiLevelType w:val="hybridMultilevel"/>
    <w:tmpl w:val="555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6704"/>
    <w:multiLevelType w:val="hybridMultilevel"/>
    <w:tmpl w:val="039E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150F"/>
    <w:multiLevelType w:val="hybridMultilevel"/>
    <w:tmpl w:val="057A7AE6"/>
    <w:lvl w:ilvl="0" w:tplc="E236CD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01F33"/>
    <w:multiLevelType w:val="hybridMultilevel"/>
    <w:tmpl w:val="F662BD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D27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55758"/>
    <w:multiLevelType w:val="hybridMultilevel"/>
    <w:tmpl w:val="9190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568A"/>
    <w:multiLevelType w:val="hybridMultilevel"/>
    <w:tmpl w:val="62F8330E"/>
    <w:lvl w:ilvl="0" w:tplc="666E0E9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B2C15"/>
    <w:multiLevelType w:val="hybridMultilevel"/>
    <w:tmpl w:val="A9E6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041E"/>
    <w:multiLevelType w:val="hybridMultilevel"/>
    <w:tmpl w:val="0DF6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3C1"/>
    <w:multiLevelType w:val="hybridMultilevel"/>
    <w:tmpl w:val="710C7666"/>
    <w:lvl w:ilvl="0" w:tplc="8472B0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44E6F0F"/>
    <w:multiLevelType w:val="hybridMultilevel"/>
    <w:tmpl w:val="BBC2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95CC0"/>
    <w:multiLevelType w:val="hybridMultilevel"/>
    <w:tmpl w:val="D50E33EE"/>
    <w:lvl w:ilvl="0" w:tplc="E5EC31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2F2961"/>
    <w:multiLevelType w:val="hybridMultilevel"/>
    <w:tmpl w:val="1D326D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3C077D9"/>
    <w:multiLevelType w:val="hybridMultilevel"/>
    <w:tmpl w:val="598E2A54"/>
    <w:lvl w:ilvl="0" w:tplc="2BF01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B3CF6"/>
    <w:multiLevelType w:val="hybridMultilevel"/>
    <w:tmpl w:val="C82601E2"/>
    <w:lvl w:ilvl="0" w:tplc="9A58871C">
      <w:start w:val="3"/>
      <w:numFmt w:val="decimal"/>
      <w:lvlText w:val="%1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6B462E4"/>
    <w:multiLevelType w:val="hybridMultilevel"/>
    <w:tmpl w:val="0E24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21FD6"/>
    <w:multiLevelType w:val="hybridMultilevel"/>
    <w:tmpl w:val="1B90D730"/>
    <w:lvl w:ilvl="0" w:tplc="2A56934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E74293B"/>
    <w:multiLevelType w:val="hybridMultilevel"/>
    <w:tmpl w:val="1316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68E9"/>
    <w:multiLevelType w:val="hybridMultilevel"/>
    <w:tmpl w:val="A03A55A8"/>
    <w:lvl w:ilvl="0" w:tplc="E12A8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985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77E8D"/>
    <w:multiLevelType w:val="hybridMultilevel"/>
    <w:tmpl w:val="E976DA40"/>
    <w:lvl w:ilvl="0" w:tplc="BB40FA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4187F"/>
    <w:multiLevelType w:val="hybridMultilevel"/>
    <w:tmpl w:val="C86E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F453D"/>
    <w:multiLevelType w:val="hybridMultilevel"/>
    <w:tmpl w:val="3B8CBDFE"/>
    <w:lvl w:ilvl="0" w:tplc="FC7E117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BD1008"/>
    <w:multiLevelType w:val="hybridMultilevel"/>
    <w:tmpl w:val="5EA20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0744D"/>
    <w:multiLevelType w:val="hybridMultilevel"/>
    <w:tmpl w:val="1D90790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D4062A"/>
    <w:multiLevelType w:val="hybridMultilevel"/>
    <w:tmpl w:val="2D12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87C50"/>
    <w:multiLevelType w:val="hybridMultilevel"/>
    <w:tmpl w:val="B014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A2392"/>
    <w:multiLevelType w:val="hybridMultilevel"/>
    <w:tmpl w:val="D1D6938C"/>
    <w:lvl w:ilvl="0" w:tplc="493259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F36EAE"/>
    <w:multiLevelType w:val="hybridMultilevel"/>
    <w:tmpl w:val="93628F10"/>
    <w:lvl w:ilvl="0" w:tplc="B8620344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554FB7"/>
    <w:multiLevelType w:val="hybridMultilevel"/>
    <w:tmpl w:val="38023520"/>
    <w:lvl w:ilvl="0" w:tplc="18A49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3586B"/>
    <w:multiLevelType w:val="hybridMultilevel"/>
    <w:tmpl w:val="38684088"/>
    <w:lvl w:ilvl="0" w:tplc="0418000F">
      <w:start w:val="1"/>
      <w:numFmt w:val="decimal"/>
      <w:lvlText w:val="%1."/>
      <w:lvlJc w:val="left"/>
      <w:pPr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EDD119F"/>
    <w:multiLevelType w:val="hybridMultilevel"/>
    <w:tmpl w:val="1F205A40"/>
    <w:lvl w:ilvl="0" w:tplc="E1ECA950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0160A03"/>
    <w:multiLevelType w:val="hybridMultilevel"/>
    <w:tmpl w:val="B0BE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F122F"/>
    <w:multiLevelType w:val="hybridMultilevel"/>
    <w:tmpl w:val="1AC8C408"/>
    <w:lvl w:ilvl="0" w:tplc="D548C7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5BE73A1"/>
    <w:multiLevelType w:val="hybridMultilevel"/>
    <w:tmpl w:val="83480714"/>
    <w:lvl w:ilvl="0" w:tplc="7E32D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7006D"/>
    <w:multiLevelType w:val="multilevel"/>
    <w:tmpl w:val="F67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247D21"/>
    <w:multiLevelType w:val="hybridMultilevel"/>
    <w:tmpl w:val="E224243A"/>
    <w:lvl w:ilvl="0" w:tplc="1FC0747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87A5A2E"/>
    <w:multiLevelType w:val="hybridMultilevel"/>
    <w:tmpl w:val="73142AD4"/>
    <w:lvl w:ilvl="0" w:tplc="5D9EE2A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B404F8"/>
    <w:multiLevelType w:val="hybridMultilevel"/>
    <w:tmpl w:val="96363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F43A1D"/>
    <w:multiLevelType w:val="hybridMultilevel"/>
    <w:tmpl w:val="B3DEDE2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89B2288"/>
    <w:multiLevelType w:val="hybridMultilevel"/>
    <w:tmpl w:val="D108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62A"/>
    <w:multiLevelType w:val="hybridMultilevel"/>
    <w:tmpl w:val="35A8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37"/>
  </w:num>
  <w:num w:numId="10">
    <w:abstractNumId w:val="0"/>
  </w:num>
  <w:num w:numId="11">
    <w:abstractNumId w:val="19"/>
  </w:num>
  <w:num w:numId="12">
    <w:abstractNumId w:val="26"/>
  </w:num>
  <w:num w:numId="13">
    <w:abstractNumId w:val="14"/>
  </w:num>
  <w:num w:numId="14">
    <w:abstractNumId w:val="35"/>
  </w:num>
  <w:num w:numId="15">
    <w:abstractNumId w:val="33"/>
  </w:num>
  <w:num w:numId="16">
    <w:abstractNumId w:val="17"/>
  </w:num>
  <w:num w:numId="17">
    <w:abstractNumId w:val="7"/>
  </w:num>
  <w:num w:numId="18">
    <w:abstractNumId w:val="28"/>
  </w:num>
  <w:num w:numId="19">
    <w:abstractNumId w:val="36"/>
  </w:num>
  <w:num w:numId="20">
    <w:abstractNumId w:val="41"/>
  </w:num>
  <w:num w:numId="21">
    <w:abstractNumId w:val="16"/>
  </w:num>
  <w:num w:numId="22">
    <w:abstractNumId w:val="4"/>
  </w:num>
  <w:num w:numId="23">
    <w:abstractNumId w:val="25"/>
  </w:num>
  <w:num w:numId="24">
    <w:abstractNumId w:val="13"/>
  </w:num>
  <w:num w:numId="25">
    <w:abstractNumId w:val="11"/>
  </w:num>
  <w:num w:numId="26">
    <w:abstractNumId w:val="3"/>
  </w:num>
  <w:num w:numId="27">
    <w:abstractNumId w:val="42"/>
  </w:num>
  <w:num w:numId="28">
    <w:abstractNumId w:val="8"/>
  </w:num>
  <w:num w:numId="29">
    <w:abstractNumId w:val="1"/>
  </w:num>
  <w:num w:numId="30">
    <w:abstractNumId w:val="15"/>
  </w:num>
  <w:num w:numId="31">
    <w:abstractNumId w:val="20"/>
  </w:num>
  <w:num w:numId="32">
    <w:abstractNumId w:val="43"/>
  </w:num>
  <w:num w:numId="33">
    <w:abstractNumId w:val="27"/>
  </w:num>
  <w:num w:numId="34">
    <w:abstractNumId w:val="38"/>
  </w:num>
  <w:num w:numId="35">
    <w:abstractNumId w:val="10"/>
  </w:num>
  <w:num w:numId="36">
    <w:abstractNumId w:val="18"/>
  </w:num>
  <w:num w:numId="37">
    <w:abstractNumId w:val="23"/>
  </w:num>
  <w:num w:numId="38">
    <w:abstractNumId w:val="34"/>
  </w:num>
  <w:num w:numId="39">
    <w:abstractNumId w:val="2"/>
  </w:num>
  <w:num w:numId="40">
    <w:abstractNumId w:val="22"/>
  </w:num>
  <w:num w:numId="41">
    <w:abstractNumId w:val="24"/>
  </w:num>
  <w:num w:numId="42">
    <w:abstractNumId w:val="30"/>
  </w:num>
  <w:num w:numId="43">
    <w:abstractNumId w:val="29"/>
  </w:num>
  <w:num w:numId="44">
    <w:abstractNumId w:val="40"/>
  </w:num>
  <w:num w:numId="45">
    <w:abstractNumId w:val="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93"/>
    <w:rsid w:val="000054F0"/>
    <w:rsid w:val="0006722D"/>
    <w:rsid w:val="000902D9"/>
    <w:rsid w:val="000A4BA2"/>
    <w:rsid w:val="000B1B59"/>
    <w:rsid w:val="000B272E"/>
    <w:rsid w:val="000D1DB2"/>
    <w:rsid w:val="000F07C2"/>
    <w:rsid w:val="000F485F"/>
    <w:rsid w:val="00135EA2"/>
    <w:rsid w:val="00141D87"/>
    <w:rsid w:val="00157D3B"/>
    <w:rsid w:val="00182432"/>
    <w:rsid w:val="00194494"/>
    <w:rsid w:val="00195633"/>
    <w:rsid w:val="00211C53"/>
    <w:rsid w:val="00215A9C"/>
    <w:rsid w:val="00227BE1"/>
    <w:rsid w:val="002755C2"/>
    <w:rsid w:val="002D4363"/>
    <w:rsid w:val="002F20CF"/>
    <w:rsid w:val="00331CDE"/>
    <w:rsid w:val="003469EC"/>
    <w:rsid w:val="00352B2E"/>
    <w:rsid w:val="003643D6"/>
    <w:rsid w:val="00372235"/>
    <w:rsid w:val="003804F5"/>
    <w:rsid w:val="003860A8"/>
    <w:rsid w:val="00386DC0"/>
    <w:rsid w:val="003C062D"/>
    <w:rsid w:val="003C4588"/>
    <w:rsid w:val="003C6590"/>
    <w:rsid w:val="003C6B43"/>
    <w:rsid w:val="00404571"/>
    <w:rsid w:val="00430DB9"/>
    <w:rsid w:val="00446295"/>
    <w:rsid w:val="004B12C9"/>
    <w:rsid w:val="004B3673"/>
    <w:rsid w:val="004C4093"/>
    <w:rsid w:val="005F6BB0"/>
    <w:rsid w:val="006154EF"/>
    <w:rsid w:val="00695729"/>
    <w:rsid w:val="006B7BC6"/>
    <w:rsid w:val="006C1DD3"/>
    <w:rsid w:val="006C6390"/>
    <w:rsid w:val="006D6123"/>
    <w:rsid w:val="00703964"/>
    <w:rsid w:val="00753192"/>
    <w:rsid w:val="0075373D"/>
    <w:rsid w:val="0077233D"/>
    <w:rsid w:val="007764CB"/>
    <w:rsid w:val="007B473B"/>
    <w:rsid w:val="007C0E8B"/>
    <w:rsid w:val="007C7509"/>
    <w:rsid w:val="007D672E"/>
    <w:rsid w:val="00805D48"/>
    <w:rsid w:val="00815C34"/>
    <w:rsid w:val="00894F1C"/>
    <w:rsid w:val="00895B4F"/>
    <w:rsid w:val="008A63B4"/>
    <w:rsid w:val="008C7FD2"/>
    <w:rsid w:val="00933A65"/>
    <w:rsid w:val="00961524"/>
    <w:rsid w:val="00963D10"/>
    <w:rsid w:val="009830A6"/>
    <w:rsid w:val="009F106C"/>
    <w:rsid w:val="00A1680B"/>
    <w:rsid w:val="00A2550D"/>
    <w:rsid w:val="00A34E76"/>
    <w:rsid w:val="00A91030"/>
    <w:rsid w:val="00AA0479"/>
    <w:rsid w:val="00AA44EA"/>
    <w:rsid w:val="00AD1EF7"/>
    <w:rsid w:val="00AF430E"/>
    <w:rsid w:val="00B15BB2"/>
    <w:rsid w:val="00B33618"/>
    <w:rsid w:val="00B65D06"/>
    <w:rsid w:val="00B94431"/>
    <w:rsid w:val="00BF4223"/>
    <w:rsid w:val="00C112D9"/>
    <w:rsid w:val="00C44B69"/>
    <w:rsid w:val="00C51D34"/>
    <w:rsid w:val="00C8245D"/>
    <w:rsid w:val="00CC1911"/>
    <w:rsid w:val="00CD1F5D"/>
    <w:rsid w:val="00DD71A9"/>
    <w:rsid w:val="00DF1B9B"/>
    <w:rsid w:val="00E56851"/>
    <w:rsid w:val="00E6354A"/>
    <w:rsid w:val="00E73CAC"/>
    <w:rsid w:val="00E8721B"/>
    <w:rsid w:val="00EB0C2C"/>
    <w:rsid w:val="00EB39B2"/>
    <w:rsid w:val="00EC1377"/>
    <w:rsid w:val="00ED09BC"/>
    <w:rsid w:val="00F2484A"/>
    <w:rsid w:val="00F41CCF"/>
    <w:rsid w:val="00F43A30"/>
    <w:rsid w:val="00F74D63"/>
    <w:rsid w:val="00F85BBC"/>
    <w:rsid w:val="00FF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BE643-1723-449E-9728-B9D6C065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09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C4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C40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0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nhideWhenUsed/>
    <w:rsid w:val="004C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4093"/>
    <w:rPr>
      <w:rFonts w:eastAsiaTheme="minorEastAsia"/>
      <w:lang w:eastAsia="ru-RU"/>
    </w:rPr>
  </w:style>
  <w:style w:type="paragraph" w:styleId="Footer">
    <w:name w:val="footer"/>
    <w:basedOn w:val="Normal"/>
    <w:link w:val="FooterChar"/>
    <w:unhideWhenUsed/>
    <w:rsid w:val="004C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4093"/>
    <w:rPr>
      <w:rFonts w:eastAsiaTheme="minorEastAsia"/>
      <w:lang w:eastAsia="ru-RU"/>
    </w:rPr>
  </w:style>
  <w:style w:type="table" w:styleId="TableGrid">
    <w:name w:val="Table Grid"/>
    <w:basedOn w:val="TableNormal"/>
    <w:rsid w:val="0089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95B4F"/>
  </w:style>
  <w:style w:type="paragraph" w:styleId="ListParagraph">
    <w:name w:val="List Paragraph"/>
    <w:basedOn w:val="Normal"/>
    <w:uiPriority w:val="34"/>
    <w:qFormat/>
    <w:rsid w:val="00895B4F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95B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895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895B4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895B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urtea%20de%20apel\Raport\3%20luni%202016\diagram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3646559698986525"/>
          <c:h val="0.63820875960835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5.0125313283207766E-3"/>
                  <c:y val="-2.8828828828828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F5-4A7A-A8AE-7C0768EDB6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o-RO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302</c:v>
                </c:pt>
                <c:pt idx="1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F5-4A7A-A8AE-7C0768EDB6C0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Cauze noi înregistrate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7.5187969924812208E-3"/>
                  <c:y val="-1.801801801801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F5-4A7A-A8AE-7C0768EDB6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o-RO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472</c:v>
                </c:pt>
                <c:pt idx="1">
                  <c:v>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F5-4A7A-A8AE-7C0768EDB6C0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Cauze soluționate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F5-4A7A-A8AE-7C0768EDB6C0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F5-4A7A-A8AE-7C0768EDB6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o-RO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323</c:v>
                </c:pt>
                <c:pt idx="1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F5-4A7A-A8AE-7C0768EDB6C0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F5-4A7A-A8AE-7C0768EDB6C0}"/>
                </c:ext>
              </c:extLst>
            </c:dLbl>
            <c:dLbl>
              <c:idx val="1"/>
              <c:layout>
                <c:manualLayout>
                  <c:x val="2.9991770508938552E-2"/>
                  <c:y val="-1.839085217024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F5-4A7A-A8AE-7C0768EDB6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o-RO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Лист1!$E$3:$E$4</c:f>
              <c:numCache>
                <c:formatCode>General</c:formatCode>
                <c:ptCount val="2"/>
                <c:pt idx="0">
                  <c:v>407</c:v>
                </c:pt>
                <c:pt idx="1">
                  <c:v>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7F5-4A7A-A8AE-7C0768EDB6C0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581453634085211E-2"/>
                  <c:y val="-3.2432432432432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F5-4A7A-A8AE-7C0768EDB6C0}"/>
                </c:ext>
              </c:extLst>
            </c:dLbl>
            <c:dLbl>
              <c:idx val="1"/>
              <c:layout>
                <c:manualLayout>
                  <c:x val="3.5087719298245612E-2"/>
                  <c:y val="-2.5225225225225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F5-4A7A-A8AE-7C0768EDB6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o-RO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Лист1!$F$3:$F$4</c:f>
              <c:numCache>
                <c:formatCode>0.00%</c:formatCode>
                <c:ptCount val="2"/>
                <c:pt idx="0">
                  <c:v>0.68432203389830504</c:v>
                </c:pt>
                <c:pt idx="1">
                  <c:v>0.95543175487465148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7F5-4A7A-A8AE-7C0768EDB6C0}"/>
            </c:ext>
          </c:extLst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Durata lichidării stocului de cauze pendinte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o-RO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Лист1!$G$3:$G$4</c:f>
              <c:numCache>
                <c:formatCode>0</c:formatCode>
                <c:ptCount val="2"/>
                <c:pt idx="0">
                  <c:v>113.40557275541795</c:v>
                </c:pt>
                <c:pt idx="1">
                  <c:v>88.688046647230308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7F5-4A7A-A8AE-7C0768EDB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7792760"/>
        <c:axId val="217792368"/>
        <c:axId val="0"/>
      </c:bar3DChart>
      <c:catAx>
        <c:axId val="217792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o-RO"/>
            </a:pPr>
            <a:endParaRPr lang="en-US"/>
          </a:p>
        </c:txPr>
        <c:crossAx val="217792368"/>
        <c:crosses val="autoZero"/>
        <c:auto val="1"/>
        <c:lblAlgn val="ctr"/>
        <c:lblOffset val="100"/>
        <c:noMultiLvlLbl val="0"/>
      </c:catAx>
      <c:valAx>
        <c:axId val="21779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o-RO"/>
            </a:pPr>
            <a:endParaRPr lang="en-US"/>
          </a:p>
        </c:txPr>
        <c:crossAx val="217792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0339702082116748"/>
          <c:w val="1"/>
          <c:h val="0.13831023919244792"/>
        </c:manualLayout>
      </c:layout>
      <c:overlay val="0"/>
      <c:txPr>
        <a:bodyPr/>
        <a:lstStyle/>
        <a:p>
          <a:pPr>
            <a:defRPr lang="ro-RO"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9381330021919305"/>
          <c:h val="0.576446609024008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Лист1!$B$16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125313283207766E-3"/>
                  <c:y val="-2.8828828828828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F9-47F8-A4F5-8D220238E444}"/>
                </c:ext>
              </c:extLst>
            </c:dLbl>
            <c:dLbl>
              <c:idx val="1"/>
              <c:layout>
                <c:manualLayout>
                  <c:x val="2.5762122701541955E-3"/>
                  <c:y val="-1.691331923890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F9-47F8-A4F5-8D220238E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Лист1!$B$17:$B$18</c:f>
              <c:numCache>
                <c:formatCode>General</c:formatCode>
                <c:ptCount val="2"/>
                <c:pt idx="0">
                  <c:v>99</c:v>
                </c:pt>
                <c:pt idx="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F9-47F8-A4F5-8D220238E444}"/>
            </c:ext>
          </c:extLst>
        </c:ser>
        <c:ser>
          <c:idx val="1"/>
          <c:order val="1"/>
          <c:tx>
            <c:strRef>
              <c:f>Лист1!$C$16</c:f>
              <c:strCache>
                <c:ptCount val="1"/>
                <c:pt idx="0">
                  <c:v>Cauze noi înregistrate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5187969924812303E-3"/>
                  <c:y val="-1.801801801801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F9-47F8-A4F5-8D220238E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Лист1!$C$17:$C$18</c:f>
              <c:numCache>
                <c:formatCode>General</c:formatCode>
                <c:ptCount val="2"/>
                <c:pt idx="0">
                  <c:v>111</c:v>
                </c:pt>
                <c:pt idx="1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F9-47F8-A4F5-8D220238E444}"/>
            </c:ext>
          </c:extLst>
        </c:ser>
        <c:ser>
          <c:idx val="2"/>
          <c:order val="2"/>
          <c:tx>
            <c:strRef>
              <c:f>Лист1!$D$16</c:f>
              <c:strCache>
                <c:ptCount val="1"/>
                <c:pt idx="0">
                  <c:v>Cauze soluționate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F9-47F8-A4F5-8D220238E444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F9-47F8-A4F5-8D220238E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Лист1!$D$17:$D$18</c:f>
              <c:numCache>
                <c:formatCode>General</c:formatCode>
                <c:ptCount val="2"/>
                <c:pt idx="0">
                  <c:v>112</c:v>
                </c:pt>
                <c:pt idx="1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AF9-47F8-A4F5-8D220238E444}"/>
            </c:ext>
          </c:extLst>
        </c:ser>
        <c:ser>
          <c:idx val="3"/>
          <c:order val="3"/>
          <c:tx>
            <c:strRef>
              <c:f>Лист1!$E$16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F9-47F8-A4F5-8D220238E444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F9-47F8-A4F5-8D220238E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Лист1!$E$17:$E$18</c:f>
              <c:numCache>
                <c:formatCode>General</c:formatCode>
                <c:ptCount val="2"/>
                <c:pt idx="0">
                  <c:v>93</c:v>
                </c:pt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F9-47F8-A4F5-8D220238E444}"/>
            </c:ext>
          </c:extLst>
        </c:ser>
        <c:ser>
          <c:idx val="4"/>
          <c:order val="4"/>
          <c:tx>
            <c:strRef>
              <c:f>Лист1!$F$16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581453634085211E-2"/>
                  <c:y val="-3.2432432432432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F9-47F8-A4F5-8D220238E444}"/>
                </c:ext>
              </c:extLst>
            </c:dLbl>
            <c:dLbl>
              <c:idx val="1"/>
              <c:layout>
                <c:manualLayout>
                  <c:x val="3.5087719298245612E-2"/>
                  <c:y val="-2.522522522522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AF9-47F8-A4F5-8D220238E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Лист1!$F$17:$F$18</c:f>
              <c:numCache>
                <c:formatCode>0.00%</c:formatCode>
                <c:ptCount val="2"/>
                <c:pt idx="0">
                  <c:v>1.0090090090090078</c:v>
                </c:pt>
                <c:pt idx="1">
                  <c:v>1.0403225806451613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AF9-47F8-A4F5-8D220238E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15747960"/>
        <c:axId val="215747176"/>
        <c:axId val="0"/>
      </c:bar3DChart>
      <c:catAx>
        <c:axId val="215747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5747176"/>
        <c:crosses val="autoZero"/>
        <c:auto val="1"/>
        <c:lblAlgn val="ctr"/>
        <c:lblOffset val="100"/>
        <c:noMultiLvlLbl val="0"/>
      </c:catAx>
      <c:valAx>
        <c:axId val="215747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747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634333855407035"/>
          <c:w val="0.93489722386852303"/>
          <c:h val="0.21840131019045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4602357501011363"/>
          <c:h val="0.5614965663538632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Лист1!$B$16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5.0125070916499084E-3"/>
                  <c:y val="-7.702117366960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BD-436E-8DE1-7154A375F6B6}"/>
                </c:ext>
              </c:extLst>
            </c:dLbl>
            <c:dLbl>
              <c:idx val="1"/>
              <c:layout>
                <c:manualLayout>
                  <c:x val="2.5761627082366359E-3"/>
                  <c:y val="8.43872591341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BD-436E-8DE1-7154A375F6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Лист1!$B$31:$B$32</c:f>
              <c:numCache>
                <c:formatCode>General</c:formatCode>
                <c:ptCount val="2"/>
                <c:pt idx="0">
                  <c:v>75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BD-436E-8DE1-7154A375F6B6}"/>
            </c:ext>
          </c:extLst>
        </c:ser>
        <c:ser>
          <c:idx val="1"/>
          <c:order val="1"/>
          <c:tx>
            <c:strRef>
              <c:f>Лист1!$C$16</c:f>
              <c:strCache>
                <c:ptCount val="1"/>
                <c:pt idx="0">
                  <c:v>Cauze noi înregistrate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7.5187969924812277E-3"/>
                  <c:y val="-1.801801801801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BD-436E-8DE1-7154A375F6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Лист1!$C$31:$C$32</c:f>
              <c:numCache>
                <c:formatCode>General</c:formatCode>
                <c:ptCount val="2"/>
                <c:pt idx="0">
                  <c:v>46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BD-436E-8DE1-7154A375F6B6}"/>
            </c:ext>
          </c:extLst>
        </c:ser>
        <c:ser>
          <c:idx val="2"/>
          <c:order val="2"/>
          <c:tx>
            <c:strRef>
              <c:f>Лист1!$D$16</c:f>
              <c:strCache>
                <c:ptCount val="1"/>
                <c:pt idx="0">
                  <c:v>Cauze soluționate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BD-436E-8DE1-7154A375F6B6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7BD-436E-8DE1-7154A375F6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Лист1!$D$31:$D$32</c:f>
              <c:numCache>
                <c:formatCode>General</c:formatCode>
                <c:ptCount val="2"/>
                <c:pt idx="0">
                  <c:v>52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7BD-436E-8DE1-7154A375F6B6}"/>
            </c:ext>
          </c:extLst>
        </c:ser>
        <c:ser>
          <c:idx val="3"/>
          <c:order val="3"/>
          <c:tx>
            <c:strRef>
              <c:f>Лист1!$E$16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7BD-436E-8DE1-7154A375F6B6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BD-436E-8DE1-7154A375F6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Лист1!$E$31:$E$32</c:f>
              <c:numCache>
                <c:formatCode>General</c:formatCode>
                <c:ptCount val="2"/>
                <c:pt idx="0">
                  <c:v>65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7BD-436E-8DE1-7154A375F6B6}"/>
            </c:ext>
          </c:extLst>
        </c:ser>
        <c:ser>
          <c:idx val="4"/>
          <c:order val="4"/>
          <c:tx>
            <c:strRef>
              <c:f>Лист1!$F$16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8.9929162080546604E-2"/>
                  <c:y val="-2.5126379750476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BD-436E-8DE1-7154A375F6B6}"/>
                </c:ext>
              </c:extLst>
            </c:dLbl>
            <c:dLbl>
              <c:idx val="1"/>
              <c:layout>
                <c:manualLayout>
                  <c:x val="8.2877167235815952E-2"/>
                  <c:y val="-2.5225326286269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7BD-436E-8DE1-7154A375F6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Лист1!$F$31:$F$32</c:f>
              <c:numCache>
                <c:formatCode>0.00%</c:formatCode>
                <c:ptCount val="2"/>
                <c:pt idx="0">
                  <c:v>1.1304347826086956</c:v>
                </c:pt>
                <c:pt idx="1">
                  <c:v>1.0943396226415101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7BD-436E-8DE1-7154A375F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695344"/>
        <c:axId val="213694952"/>
        <c:axId val="0"/>
      </c:bar3DChart>
      <c:catAx>
        <c:axId val="21369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694952"/>
        <c:crosses val="autoZero"/>
        <c:auto val="1"/>
        <c:lblAlgn val="ctr"/>
        <c:lblOffset val="100"/>
        <c:noMultiLvlLbl val="0"/>
      </c:catAx>
      <c:valAx>
        <c:axId val="213694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369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3139898608564335"/>
          <c:w val="1"/>
          <c:h val="0.253989141768237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3646559698986525"/>
          <c:h val="0.63820875960835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Лист1!$B$45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125070916499084E-3"/>
                  <c:y val="-7.702117366960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38-4A38-AD72-B2D890C4C44D}"/>
                </c:ext>
              </c:extLst>
            </c:dLbl>
            <c:dLbl>
              <c:idx val="1"/>
              <c:layout>
                <c:manualLayout>
                  <c:x val="2.5761627082366359E-3"/>
                  <c:y val="8.43872591341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38-4A38-AD72-B2D890C4C4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Лист1!$B$46:$B$47</c:f>
              <c:numCache>
                <c:formatCode>General</c:formatCode>
                <c:ptCount val="2"/>
                <c:pt idx="0">
                  <c:v>24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8-4A38-AD72-B2D890C4C44D}"/>
            </c:ext>
          </c:extLst>
        </c:ser>
        <c:ser>
          <c:idx val="1"/>
          <c:order val="1"/>
          <c:tx>
            <c:strRef>
              <c:f>Лист1!$C$45</c:f>
              <c:strCache>
                <c:ptCount val="1"/>
                <c:pt idx="0">
                  <c:v>Cauze noi înregistrate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5187969924812277E-3"/>
                  <c:y val="-1.801801801801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38-4A38-AD72-B2D890C4C4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Лист1!$C$46:$C$47</c:f>
              <c:numCache>
                <c:formatCode>General</c:formatCode>
                <c:ptCount val="2"/>
                <c:pt idx="0">
                  <c:v>65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38-4A38-AD72-B2D890C4C44D}"/>
            </c:ext>
          </c:extLst>
        </c:ser>
        <c:ser>
          <c:idx val="2"/>
          <c:order val="2"/>
          <c:tx>
            <c:strRef>
              <c:f>Лист1!$D$45</c:f>
              <c:strCache>
                <c:ptCount val="1"/>
                <c:pt idx="0">
                  <c:v>Cauze soluționate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38-4A38-AD72-B2D890C4C44D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38-4A38-AD72-B2D890C4C4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Лист1!$D$46:$D$47</c:f>
              <c:numCache>
                <c:formatCode>General</c:formatCode>
                <c:ptCount val="2"/>
                <c:pt idx="0">
                  <c:v>60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A38-4A38-AD72-B2D890C4C44D}"/>
            </c:ext>
          </c:extLst>
        </c:ser>
        <c:ser>
          <c:idx val="3"/>
          <c:order val="3"/>
          <c:tx>
            <c:strRef>
              <c:f>Лист1!$E$45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38-4A38-AD72-B2D890C4C44D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38-4A38-AD72-B2D890C4C4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Лист1!$E$46:$E$47</c:f>
              <c:numCache>
                <c:formatCode>General</c:formatCode>
                <c:ptCount val="2"/>
                <c:pt idx="0">
                  <c:v>28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38-4A38-AD72-B2D890C4C44D}"/>
            </c:ext>
          </c:extLst>
        </c:ser>
        <c:ser>
          <c:idx val="4"/>
          <c:order val="4"/>
          <c:tx>
            <c:strRef>
              <c:f>Лист1!$F$45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581453634085211E-2"/>
                  <c:y val="-3.2432432432432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A38-4A38-AD72-B2D890C4C44D}"/>
                </c:ext>
              </c:extLst>
            </c:dLbl>
            <c:dLbl>
              <c:idx val="1"/>
              <c:layout>
                <c:manualLayout>
                  <c:x val="3.5087719298245612E-2"/>
                  <c:y val="-2.522522522522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A38-4A38-AD72-B2D890C4C4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Лист1!$F$46:$F$47</c:f>
              <c:numCache>
                <c:formatCode>0.00%</c:formatCode>
                <c:ptCount val="2"/>
                <c:pt idx="0">
                  <c:v>0.92307692307692257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A38-4A38-AD72-B2D890C4C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5461544"/>
        <c:axId val="395462328"/>
        <c:axId val="0"/>
      </c:bar3DChart>
      <c:catAx>
        <c:axId val="395461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462328"/>
        <c:crosses val="autoZero"/>
        <c:auto val="1"/>
        <c:lblAlgn val="ctr"/>
        <c:lblOffset val="100"/>
        <c:noMultiLvlLbl val="0"/>
      </c:catAx>
      <c:valAx>
        <c:axId val="395462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461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2106946398874401E-2"/>
          <c:y val="0.7836145704338896"/>
          <c:w val="0.90789305360112671"/>
          <c:h val="0.216385429566111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3390702073715752"/>
          <c:h val="0.573814722023384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Лист1!$B$45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125070916499084E-3"/>
                  <c:y val="-7.702117366960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91-4B21-A0B8-FF20832E68CD}"/>
                </c:ext>
              </c:extLst>
            </c:dLbl>
            <c:dLbl>
              <c:idx val="1"/>
              <c:layout>
                <c:manualLayout>
                  <c:x val="2.5761627082366372E-3"/>
                  <c:y val="8.43872591341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91-4B21-A0B8-FF20832E68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Лист1!$B$61:$B$62</c:f>
              <c:numCache>
                <c:formatCode>General</c:formatCode>
                <c:ptCount val="2"/>
                <c:pt idx="0">
                  <c:v>38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91-4B21-A0B8-FF20832E68CD}"/>
            </c:ext>
          </c:extLst>
        </c:ser>
        <c:ser>
          <c:idx val="1"/>
          <c:order val="1"/>
          <c:tx>
            <c:strRef>
              <c:f>Лист1!$C$45</c:f>
              <c:strCache>
                <c:ptCount val="1"/>
                <c:pt idx="0">
                  <c:v>Cauze noi înregistrate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5187969924812321E-3"/>
                  <c:y val="-1.801801801801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91-4B21-A0B8-FF20832E68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Лист1!$C$61:$C$62</c:f>
              <c:numCache>
                <c:formatCode>General</c:formatCode>
                <c:ptCount val="2"/>
                <c:pt idx="0">
                  <c:v>58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91-4B21-A0B8-FF20832E68CD}"/>
            </c:ext>
          </c:extLst>
        </c:ser>
        <c:ser>
          <c:idx val="2"/>
          <c:order val="2"/>
          <c:tx>
            <c:strRef>
              <c:f>Лист1!$D$45</c:f>
              <c:strCache>
                <c:ptCount val="1"/>
                <c:pt idx="0">
                  <c:v>Cauze soluționate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91-4B21-A0B8-FF20832E68CD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91-4B21-A0B8-FF20832E68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Лист1!$D$61:$D$62</c:f>
              <c:numCache>
                <c:formatCode>General</c:formatCode>
                <c:ptCount val="2"/>
                <c:pt idx="0">
                  <c:v>65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F91-4B21-A0B8-FF20832E68CD}"/>
            </c:ext>
          </c:extLst>
        </c:ser>
        <c:ser>
          <c:idx val="3"/>
          <c:order val="3"/>
          <c:tx>
            <c:strRef>
              <c:f>Лист1!$E$45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F91-4B21-A0B8-FF20832E68CD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91-4B21-A0B8-FF20832E68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Лист1!$E$61:$E$62</c:f>
              <c:numCache>
                <c:formatCode>General</c:formatCode>
                <c:ptCount val="2"/>
                <c:pt idx="0">
                  <c:v>30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F91-4B21-A0B8-FF20832E68CD}"/>
            </c:ext>
          </c:extLst>
        </c:ser>
        <c:ser>
          <c:idx val="4"/>
          <c:order val="4"/>
          <c:tx>
            <c:strRef>
              <c:f>Лист1!$F$45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581453634085211E-2"/>
                  <c:y val="-3.2432432432432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F91-4B21-A0B8-FF20832E68CD}"/>
                </c:ext>
              </c:extLst>
            </c:dLbl>
            <c:dLbl>
              <c:idx val="1"/>
              <c:layout>
                <c:manualLayout>
                  <c:x val="3.5087719298245612E-2"/>
                  <c:y val="-2.5225225225225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F91-4B21-A0B8-FF20832E68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Лист1!$F$61:$F$62</c:f>
              <c:numCache>
                <c:formatCode>0.00%</c:formatCode>
                <c:ptCount val="2"/>
                <c:pt idx="0">
                  <c:v>1.1206896551724121</c:v>
                </c:pt>
                <c:pt idx="1">
                  <c:v>0.97058823529411764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F91-4B21-A0B8-FF20832E6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16293248"/>
        <c:axId val="215169064"/>
        <c:axId val="0"/>
      </c:bar3DChart>
      <c:catAx>
        <c:axId val="216293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5169064"/>
        <c:crosses val="autoZero"/>
        <c:auto val="1"/>
        <c:lblAlgn val="ctr"/>
        <c:lblOffset val="100"/>
        <c:noMultiLvlLbl val="0"/>
      </c:catAx>
      <c:valAx>
        <c:axId val="215169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29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4262228585063228"/>
          <c:w val="1"/>
          <c:h val="0.234650441422095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3646559698986525"/>
          <c:h val="0.6382087596083596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5.0125070916499084E-3"/>
                  <c:y val="-7.702117366960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A0-4057-82C8-6FC439BB4834}"/>
                </c:ext>
              </c:extLst>
            </c:dLbl>
            <c:dLbl>
              <c:idx val="1"/>
              <c:layout>
                <c:manualLayout>
                  <c:x val="5.1347809488506294E-3"/>
                  <c:y val="-5.2015492948291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A0-4057-82C8-6FC439BB48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Лист1!$B$77:$B$78</c:f>
              <c:numCache>
                <c:formatCode>General</c:formatCode>
                <c:ptCount val="2"/>
                <c:pt idx="0">
                  <c:v>165</c:v>
                </c:pt>
                <c:pt idx="1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A0-4057-82C8-6FC439BB4834}"/>
            </c:ext>
          </c:extLst>
        </c:ser>
        <c:ser>
          <c:idx val="1"/>
          <c:order val="1"/>
          <c:tx>
            <c:strRef>
              <c:f>Лист1!$C$76</c:f>
              <c:strCache>
                <c:ptCount val="1"/>
                <c:pt idx="0">
                  <c:v>Cauze noi înregistrate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7.5188439490350093E-3"/>
                  <c:y val="-7.7878244759047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A0-4057-82C8-6FC439BB48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Лист1!$C$77:$C$78</c:f>
              <c:numCache>
                <c:formatCode>General</c:formatCode>
                <c:ptCount val="2"/>
                <c:pt idx="0">
                  <c:v>303</c:v>
                </c:pt>
                <c:pt idx="1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A0-4057-82C8-6FC439BB4834}"/>
            </c:ext>
          </c:extLst>
        </c:ser>
        <c:ser>
          <c:idx val="2"/>
          <c:order val="2"/>
          <c:tx>
            <c:strRef>
              <c:f>Лист1!$D$76</c:f>
              <c:strCache>
                <c:ptCount val="1"/>
                <c:pt idx="0">
                  <c:v>Cauze soluționate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A0-4057-82C8-6FC439BB4834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A0-4057-82C8-6FC439BB48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Лист1!$D$77:$D$78</c:f>
              <c:numCache>
                <c:formatCode>General</c:formatCode>
                <c:ptCount val="2"/>
                <c:pt idx="0">
                  <c:v>146</c:v>
                </c:pt>
                <c:pt idx="1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A0-4057-82C8-6FC439BB4834}"/>
            </c:ext>
          </c:extLst>
        </c:ser>
        <c:ser>
          <c:idx val="3"/>
          <c:order val="3"/>
          <c:tx>
            <c:strRef>
              <c:f>Лист1!$E$76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A0-4057-82C8-6FC439BB4834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A0-4057-82C8-6FC439BB48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Лист1!$E$77:$E$78</c:f>
              <c:numCache>
                <c:formatCode>General</c:formatCode>
                <c:ptCount val="2"/>
                <c:pt idx="0">
                  <c:v>284</c:v>
                </c:pt>
                <c:pt idx="1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A0-4057-82C8-6FC439BB4834}"/>
            </c:ext>
          </c:extLst>
        </c:ser>
        <c:ser>
          <c:idx val="4"/>
          <c:order val="4"/>
          <c:tx>
            <c:strRef>
              <c:f>Лист1!$F$76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1193522294937648E-2"/>
                  <c:y val="-3.2432621114176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A0-4057-82C8-6FC439BB4834}"/>
                </c:ext>
              </c:extLst>
            </c:dLbl>
            <c:dLbl>
              <c:idx val="1"/>
              <c:layout>
                <c:manualLayout>
                  <c:x val="8.1141143016583178E-2"/>
                  <c:y val="-2.5225312309107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A0-4057-82C8-6FC439BB48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Лист1!$F$77:$F$78</c:f>
              <c:numCache>
                <c:formatCode>0.00%</c:formatCode>
                <c:ptCount val="2"/>
                <c:pt idx="0">
                  <c:v>0.48184818481848235</c:v>
                </c:pt>
                <c:pt idx="1">
                  <c:v>0.88622754491017952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6A0-4057-82C8-6FC439BB4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896904"/>
        <c:axId val="395181576"/>
        <c:axId val="0"/>
      </c:bar3DChart>
      <c:catAx>
        <c:axId val="214896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181576"/>
        <c:crosses val="autoZero"/>
        <c:auto val="1"/>
        <c:lblAlgn val="ctr"/>
        <c:lblOffset val="100"/>
        <c:noMultiLvlLbl val="0"/>
      </c:catAx>
      <c:valAx>
        <c:axId val="395181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4896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8634660437266257"/>
          <c:w val="0.90872084765789185"/>
          <c:h val="0.21365339562733707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3646559698986525"/>
          <c:h val="0.63820875960835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Лист1!$B$93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5.0125070916499084E-3"/>
                  <c:y val="-7.702117366960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99-4CA0-9300-3EA26DDF4B70}"/>
                </c:ext>
              </c:extLst>
            </c:dLbl>
            <c:dLbl>
              <c:idx val="1"/>
              <c:layout>
                <c:manualLayout>
                  <c:x val="2.5761627082366394E-3"/>
                  <c:y val="8.43872591341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99-4CA0-9300-3EA26DDF4B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Лист1!$B$94:$B$95</c:f>
              <c:numCache>
                <c:formatCode>General</c:formatCode>
                <c:ptCount val="2"/>
                <c:pt idx="0">
                  <c:v>146</c:v>
                </c:pt>
                <c:pt idx="1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99-4CA0-9300-3EA26DDF4B70}"/>
            </c:ext>
          </c:extLst>
        </c:ser>
        <c:ser>
          <c:idx val="1"/>
          <c:order val="1"/>
          <c:tx>
            <c:strRef>
              <c:f>Лист1!$C$93</c:f>
              <c:strCache>
                <c:ptCount val="1"/>
                <c:pt idx="0">
                  <c:v>Cauze noi înregistrate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7.5187969924812399E-3"/>
                  <c:y val="-1.801801801801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99-4CA0-9300-3EA26DDF4B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Лист1!$C$94:$C$95</c:f>
              <c:numCache>
                <c:formatCode>General</c:formatCode>
                <c:ptCount val="2"/>
                <c:pt idx="0">
                  <c:v>154</c:v>
                </c:pt>
                <c:pt idx="1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99-4CA0-9300-3EA26DDF4B70}"/>
            </c:ext>
          </c:extLst>
        </c:ser>
        <c:ser>
          <c:idx val="2"/>
          <c:order val="2"/>
          <c:tx>
            <c:strRef>
              <c:f>Лист1!$D$93</c:f>
              <c:strCache>
                <c:ptCount val="1"/>
                <c:pt idx="0">
                  <c:v>Cauze soluționate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99-4CA0-9300-3EA26DDF4B70}"/>
                </c:ext>
              </c:extLst>
            </c:dLbl>
            <c:dLbl>
              <c:idx val="1"/>
              <c:layout>
                <c:manualLayout>
                  <c:x val="1.2531328320802023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99-4CA0-9300-3EA26DDF4B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Лист1!$D$94:$D$95</c:f>
              <c:numCache>
                <c:formatCode>General</c:formatCode>
                <c:ptCount val="2"/>
                <c:pt idx="0">
                  <c:v>102</c:v>
                </c:pt>
                <c:pt idx="1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99-4CA0-9300-3EA26DDF4B70}"/>
            </c:ext>
          </c:extLst>
        </c:ser>
        <c:ser>
          <c:idx val="3"/>
          <c:order val="3"/>
          <c:tx>
            <c:strRef>
              <c:f>Лист1!$E$93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99-4CA0-9300-3EA26DDF4B70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99-4CA0-9300-3EA26DDF4B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Лист1!$E$94:$E$95</c:f>
              <c:numCache>
                <c:formatCode>General</c:formatCode>
                <c:ptCount val="2"/>
                <c:pt idx="0">
                  <c:v>162</c:v>
                </c:pt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F99-4CA0-9300-3EA26DDF4B70}"/>
            </c:ext>
          </c:extLst>
        </c:ser>
        <c:ser>
          <c:idx val="4"/>
          <c:order val="4"/>
          <c:tx>
            <c:strRef>
              <c:f>Лист1!$F$93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581453634085211E-2"/>
                  <c:y val="-3.2432432432432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99-4CA0-9300-3EA26DDF4B70}"/>
                </c:ext>
              </c:extLst>
            </c:dLbl>
            <c:dLbl>
              <c:idx val="1"/>
              <c:layout>
                <c:manualLayout>
                  <c:x val="3.5087719298245612E-2"/>
                  <c:y val="-2.522522522522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F99-4CA0-9300-3EA26DDF4B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Лист1!$F$94:$F$95</c:f>
              <c:numCache>
                <c:formatCode>0.00%</c:formatCode>
                <c:ptCount val="2"/>
                <c:pt idx="0">
                  <c:v>0.66233766233766234</c:v>
                </c:pt>
                <c:pt idx="1">
                  <c:v>0.88990825688073394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F99-4CA0-9300-3EA26DDF4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1015520"/>
        <c:axId val="401015912"/>
        <c:axId val="0"/>
      </c:bar3DChart>
      <c:catAx>
        <c:axId val="4010155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015912"/>
        <c:crosses val="autoZero"/>
        <c:auto val="1"/>
        <c:lblAlgn val="ctr"/>
        <c:lblOffset val="100"/>
        <c:noMultiLvlLbl val="0"/>
      </c:catAx>
      <c:valAx>
        <c:axId val="401015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101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0339702082116748"/>
          <c:w val="1"/>
          <c:h val="0.13831023919244842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60580020218888"/>
          <c:y val="6.8062053740608724E-2"/>
          <c:w val="0.74607514601215463"/>
          <c:h val="0.54868029985460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Лист1!$B$109</c:f>
              <c:strCache>
                <c:ptCount val="1"/>
                <c:pt idx="0">
                  <c:v>Cauze pendinte la începutul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125070916499084E-3"/>
                  <c:y val="-7.702117366960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77-431E-AC51-4EB567D6ACA0}"/>
                </c:ext>
              </c:extLst>
            </c:dLbl>
            <c:dLbl>
              <c:idx val="1"/>
              <c:layout>
                <c:manualLayout>
                  <c:x val="2.5761627082366407E-3"/>
                  <c:y val="8.43872591341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77-431E-AC51-4EB567D6AC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Лист1!$B$110:$B$111</c:f>
              <c:numCache>
                <c:formatCode>General</c:formatCode>
                <c:ptCount val="2"/>
                <c:pt idx="0">
                  <c:v>13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77-431E-AC51-4EB567D6ACA0}"/>
            </c:ext>
          </c:extLst>
        </c:ser>
        <c:ser>
          <c:idx val="1"/>
          <c:order val="1"/>
          <c:tx>
            <c:strRef>
              <c:f>Лист1!$C$109</c:f>
              <c:strCache>
                <c:ptCount val="1"/>
                <c:pt idx="0">
                  <c:v>Cauze noi înregistrate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414414414414415E-2"/>
                  <c:y val="2.8776978417266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77-431E-AC51-4EB567D6ACA0}"/>
                </c:ext>
              </c:extLst>
            </c:dLbl>
            <c:dLbl>
              <c:idx val="1"/>
              <c:layout>
                <c:manualLayout>
                  <c:x val="-2.0908467522640752E-3"/>
                  <c:y val="1.0759014835375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77-431E-AC51-4EB567D6AC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Лист1!$C$110:$C$111</c:f>
              <c:numCache>
                <c:formatCode>General</c:formatCode>
                <c:ptCount val="2"/>
                <c:pt idx="0">
                  <c:v>45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77-431E-AC51-4EB567D6ACA0}"/>
            </c:ext>
          </c:extLst>
        </c:ser>
        <c:ser>
          <c:idx val="2"/>
          <c:order val="2"/>
          <c:tx>
            <c:strRef>
              <c:f>Лист1!$D$109</c:f>
              <c:strCache>
                <c:ptCount val="1"/>
                <c:pt idx="0">
                  <c:v>Cauze soluționate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037593984962405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77-431E-AC51-4EB567D6ACA0}"/>
                </c:ext>
              </c:extLst>
            </c:dLbl>
            <c:dLbl>
              <c:idx val="1"/>
              <c:layout>
                <c:manualLayout>
                  <c:x val="1.4933673831311627E-2"/>
                  <c:y val="8.3737734222071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77-431E-AC51-4EB567D6AC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Лист1!$D$110:$D$111</c:f>
              <c:numCache>
                <c:formatCode>General</c:formatCode>
                <c:ptCount val="2"/>
                <c:pt idx="0">
                  <c:v>34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77-431E-AC51-4EB567D6ACA0}"/>
            </c:ext>
          </c:extLst>
        </c:ser>
        <c:ser>
          <c:idx val="3"/>
          <c:order val="3"/>
          <c:tx>
            <c:strRef>
              <c:f>Лист1!$E$109</c:f>
              <c:strCache>
                <c:ptCount val="1"/>
                <c:pt idx="0">
                  <c:v>Cauze pendinte la sfârșitul perioadei raportate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05012531328321E-2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77-431E-AC51-4EB567D6ACA0}"/>
                </c:ext>
              </c:extLst>
            </c:dLbl>
            <c:dLbl>
              <c:idx val="1"/>
              <c:layout>
                <c:manualLayout>
                  <c:x val="1.4534502784946415E-2"/>
                  <c:y val="-9.9342444773684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77-431E-AC51-4EB567D6AC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Лист1!$E$110:$E$111</c:f>
              <c:numCache>
                <c:formatCode>General</c:formatCode>
                <c:ptCount val="2"/>
                <c:pt idx="0">
                  <c:v>24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577-431E-AC51-4EB567D6ACA0}"/>
            </c:ext>
          </c:extLst>
        </c:ser>
        <c:ser>
          <c:idx val="4"/>
          <c:order val="4"/>
          <c:tx>
            <c:strRef>
              <c:f>Лист1!$F$109</c:f>
              <c:strCache>
                <c:ptCount val="1"/>
                <c:pt idx="0">
                  <c:v>Rata de variaţie a stocului de cauze pendinte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581453634085211E-2"/>
                  <c:y val="-3.2432432432432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577-431E-AC51-4EB567D6ACA0}"/>
                </c:ext>
              </c:extLst>
            </c:dLbl>
            <c:dLbl>
              <c:idx val="1"/>
              <c:layout>
                <c:manualLayout>
                  <c:x val="3.5087719298245612E-2"/>
                  <c:y val="-2.5225225225225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77-431E-AC51-4EB567D6AC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3 luni 2015</c:v>
                </c:pt>
                <c:pt idx="1">
                  <c:v>3 luni 2016</c:v>
                </c:pt>
              </c:strCache>
            </c:strRef>
          </c:cat>
          <c:val>
            <c:numRef>
              <c:f>Лист1!$F$110:$F$111</c:f>
              <c:numCache>
                <c:formatCode>0.00%</c:formatCode>
                <c:ptCount val="2"/>
                <c:pt idx="0">
                  <c:v>0.75555555555555565</c:v>
                </c:pt>
                <c:pt idx="1">
                  <c:v>0.97435897435897523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577-431E-AC51-4EB567D6A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01016696"/>
        <c:axId val="401017088"/>
        <c:axId val="0"/>
      </c:bar3DChart>
      <c:catAx>
        <c:axId val="401016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017088"/>
        <c:crosses val="autoZero"/>
        <c:auto val="1"/>
        <c:lblAlgn val="ctr"/>
        <c:lblOffset val="100"/>
        <c:noMultiLvlLbl val="0"/>
      </c:catAx>
      <c:valAx>
        <c:axId val="40101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1016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3033761190810065"/>
          <c:w val="0.97645778061526056"/>
          <c:h val="0.269662388091899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3550</Words>
  <Characters>20241</Characters>
  <Application>Microsoft Office Word</Application>
  <DocSecurity>0</DocSecurity>
  <Lines>168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Експедитор</dc:creator>
  <cp:lastModifiedBy>User</cp:lastModifiedBy>
  <cp:revision>2</cp:revision>
  <dcterms:created xsi:type="dcterms:W3CDTF">2019-03-26T07:44:00Z</dcterms:created>
  <dcterms:modified xsi:type="dcterms:W3CDTF">2019-03-26T07:44:00Z</dcterms:modified>
</cp:coreProperties>
</file>