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B120AE" w:rsidRDefault="002A1D9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FC588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6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 w:rsidR="0028196B">
        <w:rPr>
          <w:rFonts w:ascii="Times New Roman" w:hAnsi="Times New Roman"/>
          <w:b/>
          <w:sz w:val="24"/>
          <w:szCs w:val="24"/>
          <w:lang w:val="ro-RO"/>
        </w:rPr>
        <w:t>2019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</w:t>
      </w:r>
      <w:r w:rsidR="00B63968">
        <w:rPr>
          <w:lang w:val="ro-RO"/>
        </w:rPr>
        <w:t>la</w:t>
      </w:r>
      <w:r w:rsidRPr="00B120AE">
        <w:rPr>
          <w:lang w:val="ro-RO"/>
        </w:rPr>
        <w:t xml:space="preserve"> </w:t>
      </w:r>
      <w:r w:rsidR="00850420" w:rsidRPr="00B120AE">
        <w:rPr>
          <w:lang w:val="ro-RO"/>
        </w:rPr>
        <w:t>Cur</w:t>
      </w:r>
      <w:r w:rsidR="00B63968">
        <w:rPr>
          <w:lang w:val="ro-RO"/>
        </w:rPr>
        <w:t>tea</w:t>
      </w:r>
      <w:r w:rsidRPr="00B120AE">
        <w:rPr>
          <w:lang w:val="ro-RO"/>
        </w:rPr>
        <w:t xml:space="preserve"> de Apel Cahul a fost </w:t>
      </w:r>
      <w:r w:rsidR="00AA2105">
        <w:rPr>
          <w:lang w:val="ro-RO"/>
        </w:rPr>
        <w:t>organizată</w:t>
      </w:r>
      <w:r w:rsidRPr="00B120AE">
        <w:rPr>
          <w:lang w:val="ro-RO"/>
        </w:rPr>
        <w:t xml:space="preserve">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FC5880">
        <w:rPr>
          <w:lang w:val="ro-RO"/>
        </w:rPr>
        <w:t>6 luni</w:t>
      </w:r>
      <w:r w:rsidR="004A78BF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B120AE">
        <w:rPr>
          <w:lang w:val="ro-RO"/>
        </w:rPr>
        <w:t>.</w:t>
      </w:r>
    </w:p>
    <w:p w:rsidR="004C4093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>Nota informativă dată cuprinde analiza datelor statistice cu privire la exami</w:t>
      </w:r>
      <w:r w:rsidR="00EF1EBB">
        <w:rPr>
          <w:lang w:val="ro-RO"/>
        </w:rPr>
        <w:t xml:space="preserve">narea cauzelor penale, civile, </w:t>
      </w:r>
      <w:r w:rsidRPr="00B120AE">
        <w:rPr>
          <w:lang w:val="ro-RO"/>
        </w:rPr>
        <w:t xml:space="preserve">economice, 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La întocmirea raportului de activitate a Curții de Apel Cahul și a instanțelor din raza de activitate pentru </w:t>
      </w:r>
      <w:r w:rsidR="00FC5880">
        <w:rPr>
          <w:szCs w:val="24"/>
          <w:lang w:val="ro-RO"/>
        </w:rPr>
        <w:t>6 luni</w:t>
      </w:r>
      <w:r w:rsidR="004A78BF">
        <w:rPr>
          <w:szCs w:val="24"/>
          <w:lang w:val="ro-RO"/>
        </w:rPr>
        <w:t xml:space="preserve"> </w:t>
      </w:r>
      <w:r w:rsidR="0028196B">
        <w:rPr>
          <w:szCs w:val="24"/>
          <w:lang w:val="ro-RO"/>
        </w:rPr>
        <w:t>2019</w:t>
      </w:r>
      <w:r w:rsidRPr="00303BFC">
        <w:rPr>
          <w:szCs w:val="24"/>
          <w:lang w:val="ro-RO"/>
        </w:rPr>
        <w:t xml:space="preserve"> au fost implementate instrumente recomandate de Comisia Europeană pentru Eficiența Justiției ce țin de indicatorii de performanță referitor la </w:t>
      </w:r>
      <w:r w:rsidRPr="00BE26A2">
        <w:rPr>
          <w:b/>
          <w:szCs w:val="24"/>
          <w:lang w:val="ro-RO"/>
        </w:rPr>
        <w:t>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</w:t>
      </w:r>
      <w:r w:rsidRPr="00303BFC">
        <w:rPr>
          <w:szCs w:val="24"/>
          <w:lang w:val="ro-RO"/>
        </w:rPr>
        <w:t xml:space="preserve">. </w:t>
      </w:r>
    </w:p>
    <w:p w:rsidR="003B6EFB" w:rsidRPr="00303BFC" w:rsidRDefault="003B6EFB" w:rsidP="006011D0">
      <w:pPr>
        <w:spacing w:after="120"/>
        <w:rPr>
          <w:szCs w:val="24"/>
          <w:lang w:val="ro-RO"/>
        </w:rPr>
      </w:pPr>
    </w:p>
    <w:p w:rsidR="00277A91" w:rsidRDefault="004C4093" w:rsidP="00E0137F">
      <w:pPr>
        <w:pStyle w:val="ac"/>
        <w:numPr>
          <w:ilvl w:val="0"/>
          <w:numId w:val="5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B120AE" w:rsidRDefault="002A1D90" w:rsidP="002A1D90">
      <w:pPr>
        <w:pStyle w:val="ac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FC5880">
        <w:rPr>
          <w:lang w:val="ro-RO"/>
        </w:rPr>
        <w:t>6 luni</w:t>
      </w:r>
      <w:r w:rsidR="00B70847" w:rsidRPr="00B120AE">
        <w:rPr>
          <w:lang w:val="ro-RO"/>
        </w:rPr>
        <w:t xml:space="preserve"> </w:t>
      </w:r>
      <w:r w:rsidR="0028196B">
        <w:rPr>
          <w:lang w:val="ro-RO"/>
        </w:rPr>
        <w:t>2019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FC5880">
        <w:rPr>
          <w:b/>
          <w:lang w:val="ro-RO"/>
        </w:rPr>
        <w:t>1043</w:t>
      </w:r>
      <w:r w:rsidR="000A150A" w:rsidRPr="00B120AE">
        <w:rPr>
          <w:b/>
          <w:lang w:val="ro-RO"/>
        </w:rPr>
        <w:t xml:space="preserve"> cauze</w:t>
      </w:r>
      <w:r w:rsidR="00F3074A">
        <w:rPr>
          <w:b/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28196B">
        <w:rPr>
          <w:b/>
          <w:lang w:val="ro-RO"/>
        </w:rPr>
        <w:t>225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FC5880">
        <w:rPr>
          <w:b/>
          <w:lang w:val="ro-RO"/>
        </w:rPr>
        <w:t>818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</w:t>
      </w:r>
      <w:r w:rsidR="00475CDA">
        <w:rPr>
          <w:lang w:val="ro-RO"/>
        </w:rPr>
        <w:t>cauzelor</w:t>
      </w:r>
      <w:r w:rsidR="004C4093" w:rsidRPr="00B120AE">
        <w:rPr>
          <w:lang w:val="ro-RO"/>
        </w:rPr>
        <w:t xml:space="preserve">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FC5880">
        <w:rPr>
          <w:b/>
          <w:lang w:val="ro-RO"/>
        </w:rPr>
        <w:t>791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FC5880">
        <w:rPr>
          <w:i/>
          <w:lang w:val="ro-RO"/>
        </w:rPr>
        <w:t xml:space="preserve">58 </w:t>
      </w:r>
      <w:r w:rsidR="00784C2E" w:rsidRPr="00B120AE">
        <w:rPr>
          <w:i/>
          <w:lang w:val="ro-RO"/>
        </w:rPr>
        <w:t>cauze, strămutate la CSJ -</w:t>
      </w:r>
      <w:r w:rsidR="00DC7E39">
        <w:rPr>
          <w:i/>
          <w:lang w:val="ro-RO"/>
        </w:rPr>
        <w:t xml:space="preserve"> </w:t>
      </w:r>
      <w:r w:rsidR="00FC5880">
        <w:rPr>
          <w:i/>
          <w:lang w:val="ro-RO"/>
        </w:rPr>
        <w:t>18</w:t>
      </w:r>
      <w:r w:rsidR="0087702C" w:rsidRPr="00B120AE">
        <w:rPr>
          <w:i/>
          <w:lang w:val="ro-RO"/>
        </w:rPr>
        <w:t xml:space="preserve"> cauze</w:t>
      </w:r>
      <w:r w:rsidR="00475CDA">
        <w:rPr>
          <w:i/>
          <w:lang w:val="ro-RO"/>
        </w:rPr>
        <w:t>.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 xml:space="preserve">Numărul </w:t>
      </w:r>
      <w:r w:rsidR="00475CDA">
        <w:rPr>
          <w:b/>
          <w:lang w:val="ro-RO"/>
        </w:rPr>
        <w:t>cauzelor</w:t>
      </w:r>
      <w:r w:rsidRPr="00B120AE">
        <w:rPr>
          <w:b/>
          <w:lang w:val="ro-RO"/>
        </w:rPr>
        <w:t xml:space="preserve">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="00370C6D">
        <w:rPr>
          <w:lang w:val="ro-RO"/>
        </w:rPr>
        <w:t>sfâ</w:t>
      </w:r>
      <w:r w:rsidRPr="00B120AE">
        <w:rPr>
          <w:lang w:val="ro-RO"/>
        </w:rPr>
        <w:t xml:space="preserve">rșitul perioadei raportate constituie </w:t>
      </w:r>
      <w:r w:rsidR="00FC5880">
        <w:rPr>
          <w:b/>
          <w:lang w:val="ro-RO"/>
        </w:rPr>
        <w:t>252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CA30E9" w:rsidRPr="00CA30E9" w:rsidRDefault="004C4093" w:rsidP="00CA30E9">
      <w:pPr>
        <w:ind w:right="-1"/>
        <w:rPr>
          <w:color w:val="FF0000"/>
          <w:lang w:val="ro-RO"/>
        </w:rPr>
      </w:pPr>
      <w:r w:rsidRPr="00B1178F">
        <w:rPr>
          <w:b/>
          <w:lang w:val="ro-RO"/>
        </w:rPr>
        <w:t xml:space="preserve">Rata de variație a stocului de cauze </w:t>
      </w:r>
      <w:r w:rsidR="004C1632" w:rsidRPr="00B1178F">
        <w:rPr>
          <w:b/>
          <w:lang w:val="ro-RO"/>
        </w:rPr>
        <w:t>pendinte</w:t>
      </w:r>
      <w:r w:rsidR="004C1632" w:rsidRPr="00B1178F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B1178F">
        <w:rPr>
          <w:lang w:val="ro-RO"/>
        </w:rPr>
        <w:t xml:space="preserve"> constituie </w:t>
      </w:r>
      <w:r w:rsidR="00401248">
        <w:rPr>
          <w:b/>
          <w:lang w:val="ro-RO"/>
        </w:rPr>
        <w:t>96,70</w:t>
      </w:r>
      <w:r w:rsidR="00BA6938" w:rsidRPr="00B1178F">
        <w:rPr>
          <w:b/>
          <w:lang w:val="ro-RO"/>
        </w:rPr>
        <w:t xml:space="preserve"> </w:t>
      </w:r>
      <w:r w:rsidR="002D45A1" w:rsidRPr="00B1178F">
        <w:rPr>
          <w:b/>
          <w:lang w:val="ro-RO"/>
        </w:rPr>
        <w:t>%.</w:t>
      </w:r>
      <w:r w:rsidR="00937FAB" w:rsidRPr="00B1178F">
        <w:rPr>
          <w:b/>
          <w:lang w:val="ro-RO"/>
        </w:rPr>
        <w:t xml:space="preserve"> 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</w:t>
      </w:r>
      <w:r w:rsidR="0078451F">
        <w:rPr>
          <w:lang w:val="ro-RO"/>
        </w:rPr>
        <w:t>zelor nesoluționate la sfâ</w:t>
      </w:r>
      <w:r w:rsidR="004C1632" w:rsidRPr="00B120AE">
        <w:rPr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401248">
        <w:rPr>
          <w:b/>
          <w:lang w:val="ro-RO"/>
        </w:rPr>
        <w:t>57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</w:p>
    <w:p w:rsidR="00A27E73" w:rsidRDefault="0078451F" w:rsidP="00FA1972">
      <w:pPr>
        <w:ind w:right="-1"/>
        <w:rPr>
          <w:lang w:val="ro-RO"/>
        </w:rPr>
      </w:pPr>
      <w:r>
        <w:rPr>
          <w:b/>
          <w:color w:val="000000" w:themeColor="text1"/>
          <w:lang w:val="ro-RO"/>
        </w:rPr>
        <w:t>Numărul de cauze examinate de un judecător</w:t>
      </w:r>
      <w:r w:rsidR="001156A8">
        <w:rPr>
          <w:color w:val="000000" w:themeColor="text1"/>
          <w:lang w:val="ro-RO"/>
        </w:rPr>
        <w:t xml:space="preserve">. </w:t>
      </w:r>
      <w:r w:rsidR="001156A8" w:rsidRPr="007375A8">
        <w:rPr>
          <w:lang w:val="ro-RO"/>
        </w:rPr>
        <w:t xml:space="preserve">La Curtea de Apel Cahul în perioada </w:t>
      </w:r>
      <w:r w:rsidR="00FC5880">
        <w:rPr>
          <w:lang w:val="ro-RO"/>
        </w:rPr>
        <w:t>6 luni</w:t>
      </w:r>
      <w:r w:rsidR="00B1178F" w:rsidRPr="007375A8">
        <w:rPr>
          <w:lang w:val="ro-RO"/>
        </w:rPr>
        <w:t xml:space="preserve"> a </w:t>
      </w:r>
      <w:r w:rsidR="00C07CE5" w:rsidRPr="007375A8">
        <w:rPr>
          <w:lang w:val="ro-RO"/>
        </w:rPr>
        <w:t xml:space="preserve">anului </w:t>
      </w:r>
      <w:r w:rsidR="0028196B">
        <w:rPr>
          <w:lang w:val="ro-RO"/>
        </w:rPr>
        <w:t>2019</w:t>
      </w:r>
      <w:r w:rsidR="001156A8" w:rsidRPr="007375A8">
        <w:rPr>
          <w:lang w:val="ro-RO"/>
        </w:rPr>
        <w:t xml:space="preserve"> un judecător în mediu a examinat  </w:t>
      </w:r>
      <w:r w:rsidR="00FA2C21">
        <w:rPr>
          <w:b/>
          <w:lang w:val="ro-RO"/>
        </w:rPr>
        <w:t>88</w:t>
      </w:r>
      <w:r w:rsidRPr="007375A8">
        <w:rPr>
          <w:b/>
          <w:lang w:val="ro-RO"/>
        </w:rPr>
        <w:t xml:space="preserve"> cauze. </w:t>
      </w:r>
    </w:p>
    <w:p w:rsidR="00F3074A" w:rsidRDefault="00F3074A" w:rsidP="00FA1972">
      <w:pPr>
        <w:ind w:right="-1"/>
        <w:rPr>
          <w:lang w:val="ro-RO"/>
        </w:rPr>
      </w:pPr>
    </w:p>
    <w:p w:rsidR="00F3074A" w:rsidRDefault="00F3074A" w:rsidP="00FA1972">
      <w:pPr>
        <w:ind w:right="-1"/>
        <w:rPr>
          <w:lang w:val="ro-RO"/>
        </w:rPr>
      </w:pPr>
    </w:p>
    <w:p w:rsidR="00F3074A" w:rsidRDefault="00F3074A" w:rsidP="00FA1972">
      <w:pPr>
        <w:ind w:right="-1"/>
        <w:rPr>
          <w:lang w:val="ro-RO"/>
        </w:rPr>
      </w:pPr>
    </w:p>
    <w:p w:rsidR="00F3074A" w:rsidRDefault="00F3074A" w:rsidP="00FA1972">
      <w:pPr>
        <w:ind w:right="-1"/>
        <w:rPr>
          <w:lang w:val="ro-RO"/>
        </w:rPr>
      </w:pPr>
    </w:p>
    <w:p w:rsidR="00F3074A" w:rsidRPr="00C33C4E" w:rsidRDefault="00F3074A" w:rsidP="00FA1972">
      <w:pPr>
        <w:ind w:right="-1"/>
        <w:rPr>
          <w:color w:val="FF0000"/>
          <w:lang w:val="ro-RO"/>
        </w:rPr>
      </w:pPr>
    </w:p>
    <w:p w:rsidR="00131704" w:rsidRPr="00153387" w:rsidRDefault="00131704" w:rsidP="00F450BE">
      <w:pPr>
        <w:ind w:firstLine="0"/>
        <w:rPr>
          <w:color w:val="FF0000"/>
          <w:lang w:val="ro-RO"/>
        </w:rPr>
      </w:pPr>
    </w:p>
    <w:p w:rsidR="0007541E" w:rsidRDefault="0007541E" w:rsidP="00385E33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AA79EF" w:rsidRPr="00385E33" w:rsidRDefault="004C4093" w:rsidP="00385E33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lastRenderedPageBreak/>
        <w:t>Analiza acti</w:t>
      </w:r>
      <w:r w:rsidR="00385E33">
        <w:rPr>
          <w:rFonts w:ascii="Times New Roman" w:hAnsi="Times New Roman"/>
          <w:i/>
          <w:sz w:val="24"/>
          <w:szCs w:val="24"/>
          <w:lang w:val="ro-RO"/>
        </w:rPr>
        <w:t>vității comparative în diagramă</w:t>
      </w:r>
    </w:p>
    <w:p w:rsidR="001F46A6" w:rsidRPr="00B120AE" w:rsidRDefault="001F46A6" w:rsidP="002D45A1">
      <w:pPr>
        <w:pStyle w:val="a5"/>
        <w:ind w:firstLine="720"/>
        <w:rPr>
          <w:noProof/>
          <w:color w:val="FF0000"/>
          <w:lang w:val="ro-RO" w:eastAsia="en-US"/>
        </w:rPr>
      </w:pPr>
    </w:p>
    <w:p w:rsidR="001F46A6" w:rsidRPr="00B120AE" w:rsidRDefault="00FC5880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FF3E23A" wp14:editId="4B309E36">
            <wp:extent cx="5948400" cy="2514006"/>
            <wp:effectExtent l="0" t="0" r="14605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F62" w:rsidRDefault="00635F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47985" w:rsidRDefault="00A47985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Default="00C33C4E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0A24D371" wp14:editId="71CF0D1D">
            <wp:extent cx="6458733" cy="3327226"/>
            <wp:effectExtent l="0" t="0" r="18415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0262" w:rsidRPr="00B120AE" w:rsidRDefault="00C40262" w:rsidP="00563B34">
      <w:pPr>
        <w:ind w:firstLine="0"/>
        <w:rPr>
          <w:color w:val="FF0000"/>
          <w:lang w:val="ro-RO"/>
        </w:rPr>
      </w:pPr>
    </w:p>
    <w:p w:rsidR="00C5331F" w:rsidRPr="00682D58" w:rsidRDefault="00C33C4E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73A1716" wp14:editId="2A39C9EE">
            <wp:extent cx="5545377" cy="3209795"/>
            <wp:effectExtent l="0" t="0" r="17780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5B4F" w:rsidRPr="00B120AE" w:rsidRDefault="00895B4F" w:rsidP="004D5E5B">
      <w:pPr>
        <w:pStyle w:val="a5"/>
        <w:numPr>
          <w:ilvl w:val="0"/>
          <w:numId w:val="1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331F" w:rsidRPr="00B120AE" w:rsidRDefault="00C5331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D9554B" w:rsidP="00D9554B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FC5880">
        <w:rPr>
          <w:lang w:val="ro-RO"/>
        </w:rPr>
        <w:t>6 luni</w:t>
      </w:r>
      <w:r>
        <w:rPr>
          <w:lang w:val="ro-RO"/>
        </w:rPr>
        <w:t xml:space="preserve"> a anului 2019</w:t>
      </w:r>
      <w:r w:rsidRPr="00590322">
        <w:rPr>
          <w:lang w:val="ro-RO"/>
        </w:rPr>
        <w:t xml:space="preserve"> spre examinare la Curtea de Apel Cahul s-au aflat în procedură </w:t>
      </w:r>
      <w:r w:rsidR="0077252A">
        <w:rPr>
          <w:b/>
          <w:lang w:val="ro-RO"/>
        </w:rPr>
        <w:t>539</w:t>
      </w:r>
      <w:r w:rsidRPr="00590322">
        <w:rPr>
          <w:lang w:val="ro-RO"/>
        </w:rPr>
        <w:t xml:space="preserve"> </w:t>
      </w:r>
      <w:r w:rsidRPr="00590322">
        <w:rPr>
          <w:b/>
          <w:lang w:val="ro-RO"/>
        </w:rPr>
        <w:t xml:space="preserve">cauze </w:t>
      </w:r>
      <w:r w:rsidRPr="00590322">
        <w:rPr>
          <w:lang w:val="ro-RO"/>
        </w:rPr>
        <w:t xml:space="preserve">penale </w:t>
      </w:r>
      <w:r w:rsidRPr="00590322">
        <w:rPr>
          <w:szCs w:val="24"/>
          <w:lang w:val="ro-RO"/>
        </w:rPr>
        <w:t xml:space="preserve">(cu </w:t>
      </w:r>
      <w:r w:rsidR="0077252A">
        <w:rPr>
          <w:b/>
          <w:szCs w:val="24"/>
          <w:lang w:val="ro-RO"/>
        </w:rPr>
        <w:t>27</w:t>
      </w:r>
      <w:r>
        <w:rPr>
          <w:szCs w:val="24"/>
          <w:lang w:val="ro-RO"/>
        </w:rPr>
        <w:t xml:space="preserve"> cauze mai mult</w:t>
      </w:r>
      <w:r w:rsidRPr="00590322">
        <w:rPr>
          <w:szCs w:val="24"/>
          <w:lang w:val="ro-RO"/>
        </w:rPr>
        <w:t xml:space="preserve"> ca în aceeași perioadă </w:t>
      </w:r>
      <w:r w:rsidR="00FC5880">
        <w:rPr>
          <w:lang w:val="ro-RO"/>
        </w:rPr>
        <w:t>6 luni</w:t>
      </w:r>
      <w:r w:rsidRPr="00590322">
        <w:rPr>
          <w:lang w:val="ro-RO"/>
        </w:rPr>
        <w:t xml:space="preserve"> a an</w:t>
      </w:r>
      <w:r>
        <w:rPr>
          <w:lang w:val="ro-RO"/>
        </w:rPr>
        <w:t>ului 2018</w:t>
      </w:r>
      <w:r w:rsidRPr="00590322">
        <w:rPr>
          <w:szCs w:val="24"/>
          <w:lang w:val="ro-RO"/>
        </w:rPr>
        <w:t xml:space="preserve">), din care </w:t>
      </w:r>
      <w:r w:rsidRPr="00590322">
        <w:rPr>
          <w:b/>
          <w:lang w:val="ro-RO"/>
        </w:rPr>
        <w:t xml:space="preserve"> </w:t>
      </w:r>
      <w:r>
        <w:rPr>
          <w:b/>
          <w:lang w:val="ro-RO"/>
        </w:rPr>
        <w:t xml:space="preserve">113 </w:t>
      </w:r>
      <w:r w:rsidRPr="00590322">
        <w:rPr>
          <w:b/>
          <w:lang w:val="ro-RO"/>
        </w:rPr>
        <w:t>cauze</w:t>
      </w:r>
      <w:r w:rsidRPr="00590322">
        <w:rPr>
          <w:lang w:val="ro-RO"/>
        </w:rPr>
        <w:t xml:space="preserve"> nesoluționate la începutul perioadei raportate și </w:t>
      </w:r>
      <w:r w:rsidR="0077252A">
        <w:rPr>
          <w:b/>
          <w:lang w:val="ro-RO"/>
        </w:rPr>
        <w:t>426</w:t>
      </w:r>
      <w:r w:rsidRPr="00590322">
        <w:rPr>
          <w:b/>
          <w:lang w:val="ro-RO"/>
        </w:rPr>
        <w:t xml:space="preserve"> </w:t>
      </w:r>
      <w:r w:rsidRPr="00A22C3D">
        <w:rPr>
          <w:b/>
          <w:szCs w:val="24"/>
          <w:lang w:val="ro-RO"/>
        </w:rPr>
        <w:t>cauze</w:t>
      </w:r>
      <w:r>
        <w:rPr>
          <w:szCs w:val="24"/>
          <w:lang w:val="ro-RO"/>
        </w:rPr>
        <w:t xml:space="preserve"> penale parvenite noi</w:t>
      </w:r>
      <w:r w:rsidR="00A1451C" w:rsidRPr="00B120AE">
        <w:rPr>
          <w:lang w:val="ro-RO"/>
        </w:rPr>
        <w:t xml:space="preserve">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77252A">
        <w:rPr>
          <w:i/>
          <w:lang w:val="ro-RO"/>
        </w:rPr>
        <w:t>254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77252A">
        <w:rPr>
          <w:i/>
          <w:lang w:val="ro-RO"/>
        </w:rPr>
        <w:t>30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aplicarea măsurilor de </w:t>
      </w:r>
      <w:r w:rsidR="001F3DB8" w:rsidRPr="00B120AE">
        <w:rPr>
          <w:i/>
          <w:szCs w:val="24"/>
          <w:lang w:val="ro-RO"/>
        </w:rPr>
        <w:t>constrângere</w:t>
      </w:r>
      <w:r w:rsidRPr="00B120AE">
        <w:rPr>
          <w:i/>
          <w:szCs w:val="24"/>
          <w:lang w:val="ro-RO"/>
        </w:rPr>
        <w:t>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77252A">
        <w:rPr>
          <w:i/>
          <w:lang w:val="ro-RO"/>
        </w:rPr>
        <w:t>78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punerea în executare a </w:t>
      </w:r>
      <w:r w:rsidR="001F3DB8" w:rsidRPr="00B120AE">
        <w:rPr>
          <w:i/>
          <w:szCs w:val="24"/>
          <w:lang w:val="ro-RO"/>
        </w:rPr>
        <w:t>hotărârilor</w:t>
      </w:r>
      <w:r w:rsidRPr="00B120AE">
        <w:rPr>
          <w:i/>
          <w:szCs w:val="24"/>
          <w:lang w:val="ro-RO"/>
        </w:rPr>
        <w:t xml:space="preserve">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77252A">
        <w:rPr>
          <w:i/>
          <w:lang w:val="ro-RO"/>
        </w:rPr>
        <w:t>68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materiale privind strămutarea cu indicele 24 r</w:t>
      </w:r>
      <w:r w:rsidRPr="00B120AE">
        <w:rPr>
          <w:i/>
          <w:lang w:val="ro-RO"/>
        </w:rPr>
        <w:t xml:space="preserve"> -</w:t>
      </w:r>
      <w:r w:rsidR="00D9554B">
        <w:rPr>
          <w:i/>
          <w:lang w:val="ro-RO"/>
        </w:rPr>
        <w:t>0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plîngeri î/a acț.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77252A">
        <w:rPr>
          <w:i/>
          <w:lang w:val="ro-RO"/>
        </w:rPr>
        <w:t>48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acț.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</w:t>
      </w:r>
      <w:r w:rsidR="005F4989">
        <w:rPr>
          <w:i/>
          <w:lang w:val="ro-RO"/>
        </w:rPr>
        <w:t>11r-13r</w:t>
      </w:r>
      <w:r w:rsidR="00D9554B">
        <w:rPr>
          <w:i/>
          <w:lang w:val="ro-RO"/>
        </w:rPr>
        <w:t>, 19r</w:t>
      </w:r>
      <w:r w:rsidR="005F4989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 </w:t>
      </w:r>
      <w:r w:rsidR="00BD4E74" w:rsidRPr="00B120AE">
        <w:rPr>
          <w:i/>
          <w:lang w:val="ro-RO"/>
        </w:rPr>
        <w:t>–</w:t>
      </w:r>
      <w:r w:rsidR="0077252A">
        <w:rPr>
          <w:i/>
          <w:lang w:val="ro-RO"/>
        </w:rPr>
        <w:t>61</w:t>
      </w:r>
      <w:r w:rsidRPr="00B120AE">
        <w:rPr>
          <w:i/>
          <w:lang w:val="ro-RO"/>
        </w:rPr>
        <w:t xml:space="preserve">, </w:t>
      </w: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 xml:space="preserve">În perioada raportată au fost </w:t>
      </w:r>
      <w:r w:rsidR="00F1340F" w:rsidRPr="00F1340F">
        <w:rPr>
          <w:b/>
          <w:szCs w:val="24"/>
          <w:lang w:val="ro-RO"/>
        </w:rPr>
        <w:t>soluționate</w:t>
      </w:r>
      <w:r w:rsidRPr="00B120AE">
        <w:rPr>
          <w:szCs w:val="24"/>
          <w:lang w:val="ro-RO"/>
        </w:rPr>
        <w:t xml:space="preserve"> </w:t>
      </w:r>
      <w:r w:rsidRPr="00F1340F">
        <w:rPr>
          <w:b/>
          <w:szCs w:val="24"/>
          <w:lang w:val="ro-RO"/>
        </w:rPr>
        <w:t>cauze penale</w:t>
      </w:r>
      <w:r w:rsidR="009653F6" w:rsidRPr="00B120AE">
        <w:rPr>
          <w:szCs w:val="24"/>
          <w:lang w:val="ro-RO"/>
        </w:rPr>
        <w:t xml:space="preserve"> </w:t>
      </w:r>
      <w:r w:rsidR="0077252A">
        <w:rPr>
          <w:b/>
          <w:szCs w:val="24"/>
          <w:lang w:val="ro-RO"/>
        </w:rPr>
        <w:t>409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77252A">
        <w:rPr>
          <w:i/>
          <w:lang w:val="ro-RO"/>
        </w:rPr>
        <w:t>3 cauze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C07CE5">
        <w:rPr>
          <w:i/>
          <w:lang w:val="ro-RO"/>
        </w:rPr>
        <w:t xml:space="preserve">- </w:t>
      </w:r>
      <w:r w:rsidR="0077252A">
        <w:rPr>
          <w:i/>
          <w:lang w:val="ro-RO"/>
        </w:rPr>
        <w:t>4 cauze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>C</w:t>
      </w:r>
      <w:r w:rsidR="00210C03">
        <w:rPr>
          <w:szCs w:val="24"/>
          <w:lang w:val="ro-RO"/>
        </w:rPr>
        <w:t>auze penale nesoluționate la sfâ</w:t>
      </w:r>
      <w:r w:rsidRPr="00B120AE">
        <w:rPr>
          <w:szCs w:val="24"/>
          <w:lang w:val="ro-RO"/>
        </w:rPr>
        <w:t xml:space="preserve">rșitul perioadei raportate </w:t>
      </w:r>
      <w:r w:rsidR="002D5A67">
        <w:rPr>
          <w:b/>
          <w:szCs w:val="24"/>
          <w:lang w:val="ro-RO"/>
        </w:rPr>
        <w:t>130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54542B" w:rsidRDefault="00E24DDD" w:rsidP="0054542B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="00207C14">
        <w:rPr>
          <w:b/>
          <w:szCs w:val="24"/>
          <w:lang w:val="ro-RO"/>
        </w:rPr>
        <w:t xml:space="preserve"> penale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2D5A67">
        <w:rPr>
          <w:b/>
          <w:szCs w:val="24"/>
          <w:lang w:val="ro-RO"/>
        </w:rPr>
        <w:t>96,01</w:t>
      </w:r>
      <w:r w:rsidR="0054542B">
        <w:rPr>
          <w:b/>
          <w:szCs w:val="24"/>
          <w:lang w:val="ro-RO"/>
        </w:rPr>
        <w:t xml:space="preserve">%. 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pendinte</w:t>
      </w:r>
      <w:r w:rsidR="00207C14">
        <w:rPr>
          <w:b/>
          <w:lang w:val="ro-RO"/>
        </w:rPr>
        <w:t xml:space="preserve"> penale</w:t>
      </w:r>
      <w:r w:rsidRPr="004D2FFB">
        <w:rPr>
          <w:lang w:val="ro-RO"/>
        </w:rPr>
        <w:t xml:space="preserve"> (număr</w:t>
      </w:r>
      <w:r w:rsidR="00210C03">
        <w:rPr>
          <w:lang w:val="ro-RO"/>
        </w:rPr>
        <w:t>ul cauzelor nesoluționate la sfâ</w:t>
      </w:r>
      <w:r w:rsidRPr="004D2FFB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2D5A67">
        <w:rPr>
          <w:b/>
          <w:lang w:val="ro-RO"/>
        </w:rPr>
        <w:t>57</w:t>
      </w:r>
      <w:r w:rsidR="003F1C73">
        <w:rPr>
          <w:b/>
          <w:lang w:val="ro-RO"/>
        </w:rPr>
        <w:t xml:space="preserve"> </w:t>
      </w:r>
      <w:r w:rsidRPr="004D2FFB">
        <w:rPr>
          <w:b/>
          <w:lang w:val="ro-RO"/>
        </w:rPr>
        <w:t xml:space="preserve">de zile. </w:t>
      </w:r>
    </w:p>
    <w:p w:rsidR="0056429B" w:rsidRDefault="00FC6C88" w:rsidP="003B5D2F">
      <w:pPr>
        <w:ind w:right="-1"/>
        <w:rPr>
          <w:b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2D5A67">
        <w:rPr>
          <w:b/>
          <w:lang w:val="ro-RO"/>
        </w:rPr>
        <w:t>45</w:t>
      </w:r>
      <w:r w:rsidR="003F1C73">
        <w:rPr>
          <w:b/>
          <w:lang w:val="ro-RO"/>
        </w:rPr>
        <w:t xml:space="preserve"> </w:t>
      </w:r>
      <w:r w:rsidR="00EE62AF" w:rsidRPr="007375A8">
        <w:rPr>
          <w:b/>
          <w:lang w:val="ro-RO"/>
        </w:rPr>
        <w:t>cauze</w:t>
      </w:r>
    </w:p>
    <w:p w:rsidR="0056429B" w:rsidRDefault="0056429B" w:rsidP="003B5D2F">
      <w:pPr>
        <w:ind w:right="-1"/>
        <w:rPr>
          <w:b/>
          <w:lang w:val="ro-RO"/>
        </w:rPr>
      </w:pPr>
    </w:p>
    <w:p w:rsidR="0056429B" w:rsidRDefault="0056429B" w:rsidP="003B5D2F">
      <w:pPr>
        <w:ind w:right="-1"/>
        <w:rPr>
          <w:b/>
          <w:lang w:val="ro-RO"/>
        </w:rPr>
      </w:pPr>
    </w:p>
    <w:p w:rsidR="003B5D2F" w:rsidRDefault="002D5A67" w:rsidP="003B5D2F">
      <w:pPr>
        <w:ind w:right="-1"/>
        <w:rPr>
          <w:color w:val="000000" w:themeColor="text1"/>
          <w:lang w:val="ro-RO"/>
        </w:rPr>
      </w:pPr>
      <w:r w:rsidRPr="002D5A67">
        <w:rPr>
          <w:color w:val="FF0000"/>
          <w:lang w:val="ro-RO"/>
        </w:rPr>
        <w:t xml:space="preserve"> </w:t>
      </w:r>
    </w:p>
    <w:p w:rsidR="002D5A67" w:rsidRDefault="002D5A67" w:rsidP="003B5D2F">
      <w:pPr>
        <w:ind w:right="-1"/>
        <w:rPr>
          <w:color w:val="000000" w:themeColor="text1"/>
          <w:lang w:val="ro-RO"/>
        </w:rPr>
      </w:pPr>
    </w:p>
    <w:p w:rsidR="003F1C73" w:rsidRDefault="003F1C73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9C3FB1" w:rsidRDefault="009C3FB1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9C3FB1" w:rsidRDefault="009C3FB1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9C3FB1" w:rsidRDefault="009C3FB1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9C3FB1" w:rsidRDefault="009C3FB1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53192" w:rsidRPr="00AE78B7" w:rsidRDefault="00753192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9612F2" w:rsidRDefault="002D5A67" w:rsidP="00210C03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43E96DE" wp14:editId="4392E2FC">
            <wp:extent cx="5298191" cy="2898383"/>
            <wp:effectExtent l="0" t="0" r="17145" b="1651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649F" w:rsidRPr="00210C03" w:rsidRDefault="00B9649F" w:rsidP="00210C03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B9649F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  <w:r>
        <w:rPr>
          <w:noProof/>
        </w:rPr>
        <w:drawing>
          <wp:inline distT="0" distB="0" distL="0" distR="0" wp14:anchorId="5E3F8F44" wp14:editId="7E874BDC">
            <wp:extent cx="6182360" cy="377190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4CDE" w:rsidRPr="00B120AE" w:rsidRDefault="00264CDE" w:rsidP="00210C03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Default="00B9649F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44C5CC1" wp14:editId="04534329">
            <wp:extent cx="5545377" cy="3209794"/>
            <wp:effectExtent l="0" t="0" r="17780" b="1016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5FDD" w:rsidRPr="00B120AE" w:rsidRDefault="00035FDD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035FDD" w:rsidRDefault="00895B4F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5FDD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FC5880">
        <w:rPr>
          <w:lang w:val="ro-RO"/>
        </w:rPr>
        <w:t>6 luni</w:t>
      </w:r>
      <w:r w:rsidR="003127F1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B9649F">
        <w:rPr>
          <w:b/>
          <w:lang w:val="ro-RO"/>
        </w:rPr>
        <w:t>254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3F1C73">
        <w:rPr>
          <w:b/>
          <w:szCs w:val="24"/>
          <w:lang w:val="ro-RO"/>
        </w:rPr>
        <w:t>20</w:t>
      </w:r>
      <w:r w:rsidR="009B2A4C">
        <w:rPr>
          <w:szCs w:val="24"/>
          <w:lang w:val="ro-RO"/>
        </w:rPr>
        <w:t xml:space="preserve"> cauze mai </w:t>
      </w:r>
      <w:r w:rsidR="00727AE9">
        <w:rPr>
          <w:szCs w:val="24"/>
          <w:lang w:val="ro-RO"/>
        </w:rPr>
        <w:t>mult</w:t>
      </w:r>
      <w:r w:rsidR="00FC6C88" w:rsidRPr="00590322">
        <w:rPr>
          <w:szCs w:val="24"/>
          <w:lang w:val="ro-RO"/>
        </w:rPr>
        <w:t xml:space="preserve"> ca în </w:t>
      </w:r>
      <w:r w:rsidR="00F1340F" w:rsidRPr="00590322">
        <w:rPr>
          <w:szCs w:val="24"/>
          <w:lang w:val="ro-RO"/>
        </w:rPr>
        <w:t>aceeași</w:t>
      </w:r>
      <w:r w:rsidR="00FC6C88" w:rsidRPr="00590322">
        <w:rPr>
          <w:szCs w:val="24"/>
          <w:lang w:val="ro-RO"/>
        </w:rPr>
        <w:t xml:space="preserve"> perioadă </w:t>
      </w:r>
      <w:r w:rsidR="00FC5880">
        <w:rPr>
          <w:lang w:val="ro-RO"/>
        </w:rPr>
        <w:t>6 luni</w:t>
      </w:r>
      <w:r w:rsidR="00590322" w:rsidRPr="00590322">
        <w:rPr>
          <w:lang w:val="ro-RO"/>
        </w:rPr>
        <w:t xml:space="preserve"> a an</w:t>
      </w:r>
      <w:r w:rsidR="00727AE9">
        <w:rPr>
          <w:lang w:val="ro-RO"/>
        </w:rPr>
        <w:t xml:space="preserve">ului </w:t>
      </w:r>
      <w:r w:rsidR="0028196B">
        <w:rPr>
          <w:lang w:val="ro-RO"/>
        </w:rPr>
        <w:t>2018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3F1C73">
        <w:rPr>
          <w:b/>
          <w:lang w:val="ro-RO"/>
        </w:rPr>
        <w:t>89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B9649F">
        <w:rPr>
          <w:b/>
          <w:lang w:val="ro-RO"/>
        </w:rPr>
        <w:t>165</w:t>
      </w:r>
      <w:r w:rsidR="00753192" w:rsidRPr="00590322">
        <w:rPr>
          <w:b/>
          <w:lang w:val="ro-RO"/>
        </w:rPr>
        <w:t xml:space="preserve"> </w:t>
      </w:r>
      <w:r w:rsidR="00FC6C88" w:rsidRPr="00A22C3D">
        <w:rPr>
          <w:b/>
          <w:szCs w:val="24"/>
          <w:lang w:val="ro-RO"/>
        </w:rPr>
        <w:t>cauze</w:t>
      </w:r>
      <w:r w:rsidR="00FC6C88" w:rsidRPr="00590322">
        <w:rPr>
          <w:szCs w:val="24"/>
          <w:lang w:val="ro-RO"/>
        </w:rPr>
        <w:t xml:space="preserve"> penale parvenite noi. </w:t>
      </w:r>
    </w:p>
    <w:p w:rsidR="00A22C3D" w:rsidRPr="00B120AE" w:rsidRDefault="00FC6C88" w:rsidP="00A22C3D">
      <w:pPr>
        <w:rPr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B9649F">
        <w:rPr>
          <w:b/>
          <w:lang w:val="ro-RO"/>
        </w:rPr>
        <w:t>155</w:t>
      </w:r>
      <w:r w:rsidR="00A22C3D">
        <w:rPr>
          <w:b/>
          <w:lang w:val="ro-RO"/>
        </w:rPr>
        <w:t xml:space="preserve">, </w:t>
      </w:r>
      <w:r w:rsidR="00A22C3D" w:rsidRPr="00B120AE">
        <w:rPr>
          <w:i/>
          <w:lang w:val="ro-RO"/>
        </w:rPr>
        <w:t xml:space="preserve">din care fără soluționare în fond </w:t>
      </w:r>
      <w:r w:rsidR="00B9649F">
        <w:rPr>
          <w:i/>
          <w:lang w:val="ro-RO"/>
        </w:rPr>
        <w:t>2 cauze</w:t>
      </w:r>
      <w:r w:rsidR="00A22C3D" w:rsidRPr="00B120AE">
        <w:rPr>
          <w:i/>
          <w:lang w:val="ro-RO"/>
        </w:rPr>
        <w:t xml:space="preserve">, strămutate </w:t>
      </w:r>
      <w:r w:rsidR="00207C14">
        <w:rPr>
          <w:i/>
          <w:szCs w:val="24"/>
          <w:lang w:val="ro-RO"/>
        </w:rPr>
        <w:t>la Curtea</w:t>
      </w:r>
      <w:r w:rsidR="00A22C3D" w:rsidRPr="00B120AE">
        <w:rPr>
          <w:i/>
          <w:szCs w:val="24"/>
          <w:lang w:val="ro-RO"/>
        </w:rPr>
        <w:t xml:space="preserve"> Supremă de Justiție </w:t>
      </w:r>
      <w:r w:rsidR="00B9649F">
        <w:rPr>
          <w:i/>
          <w:lang w:val="ro-RO"/>
        </w:rPr>
        <w:t>–</w:t>
      </w:r>
      <w:r w:rsidR="00A22C3D" w:rsidRPr="00C07CE5">
        <w:rPr>
          <w:i/>
          <w:lang w:val="ro-RO"/>
        </w:rPr>
        <w:t xml:space="preserve"> </w:t>
      </w:r>
      <w:r w:rsidR="00B9649F">
        <w:rPr>
          <w:i/>
          <w:lang w:val="ro-RO"/>
        </w:rPr>
        <w:t>4 cauze.</w:t>
      </w:r>
      <w:r w:rsidR="00A22C3D" w:rsidRPr="00B120AE">
        <w:rPr>
          <w:i/>
          <w:lang w:val="ro-RO"/>
        </w:rPr>
        <w:t>.</w:t>
      </w:r>
    </w:p>
    <w:p w:rsidR="00341268" w:rsidRPr="00590322" w:rsidRDefault="00A22C3D" w:rsidP="00A22C3D">
      <w:pPr>
        <w:rPr>
          <w:szCs w:val="24"/>
          <w:lang w:val="ro-RO"/>
        </w:rPr>
      </w:pPr>
      <w:r>
        <w:rPr>
          <w:szCs w:val="24"/>
          <w:lang w:val="ro-RO"/>
        </w:rPr>
        <w:t>Cauze nesoluționate la sfâ</w:t>
      </w:r>
      <w:r w:rsidR="00341268" w:rsidRPr="00590322">
        <w:rPr>
          <w:szCs w:val="24"/>
          <w:lang w:val="ro-RO"/>
        </w:rPr>
        <w:t>rșitul perioadei raportate</w:t>
      </w:r>
      <w:r w:rsidR="008E1F38" w:rsidRPr="00590322">
        <w:rPr>
          <w:szCs w:val="24"/>
          <w:lang w:val="ro-RO"/>
        </w:rPr>
        <w:t xml:space="preserve"> </w:t>
      </w:r>
      <w:r w:rsidR="00B9649F">
        <w:rPr>
          <w:b/>
          <w:szCs w:val="24"/>
          <w:lang w:val="ro-RO"/>
        </w:rPr>
        <w:t>99</w:t>
      </w:r>
      <w:r w:rsidR="00FA2D71" w:rsidRPr="00A22C3D">
        <w:rPr>
          <w:b/>
          <w:szCs w:val="24"/>
          <w:lang w:val="ro-RO"/>
        </w:rPr>
        <w:t xml:space="preserve"> </w:t>
      </w:r>
      <w:r w:rsidR="00FA2D71" w:rsidRPr="00590322">
        <w:rPr>
          <w:b/>
          <w:szCs w:val="24"/>
          <w:lang w:val="ro-RO"/>
        </w:rPr>
        <w:t>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B9649F">
        <w:rPr>
          <w:b/>
          <w:lang w:val="ro-RO"/>
        </w:rPr>
        <w:t>93,94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t xml:space="preserve">Durata lichidării stocului de cauze penale în ordine de apel pendinte </w:t>
      </w:r>
      <w:r w:rsidRPr="00177734">
        <w:rPr>
          <w:lang w:val="ro-RO"/>
        </w:rPr>
        <w:t xml:space="preserve"> (număr</w:t>
      </w:r>
      <w:r w:rsidR="00B70BAF">
        <w:rPr>
          <w:lang w:val="ro-RO"/>
        </w:rPr>
        <w:t>ul cauzelor nesoluționate la sfâ</w:t>
      </w:r>
      <w:r w:rsidRPr="0017773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B9649F">
        <w:rPr>
          <w:b/>
          <w:lang w:val="ro-RO"/>
        </w:rPr>
        <w:t>115</w:t>
      </w:r>
      <w:r w:rsidR="00060432">
        <w:rPr>
          <w:b/>
          <w:lang w:val="ro-RO"/>
        </w:rPr>
        <w:t xml:space="preserve"> z</w:t>
      </w:r>
      <w:r w:rsidRPr="00177734">
        <w:rPr>
          <w:b/>
          <w:lang w:val="ro-RO"/>
        </w:rPr>
        <w:t>ile.</w:t>
      </w:r>
      <w:r w:rsidRPr="00177734">
        <w:rPr>
          <w:lang w:val="ro-RO"/>
        </w:rPr>
        <w:t>.</w:t>
      </w:r>
    </w:p>
    <w:p w:rsidR="000F3CA1" w:rsidRPr="007375A8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</w:t>
      </w:r>
      <w:r w:rsidRPr="007375A8">
        <w:rPr>
          <w:lang w:val="ro-RO"/>
        </w:rPr>
        <w:t xml:space="preserve">în mediu  constituie </w:t>
      </w:r>
      <w:r w:rsidR="00B9649F">
        <w:rPr>
          <w:lang w:val="ro-RO"/>
        </w:rPr>
        <w:t>1</w:t>
      </w:r>
      <w:r w:rsidR="00060432">
        <w:rPr>
          <w:b/>
          <w:lang w:val="ro-RO"/>
        </w:rPr>
        <w:t>7</w:t>
      </w:r>
      <w:r w:rsidR="00BE57FC" w:rsidRPr="007375A8">
        <w:rPr>
          <w:b/>
          <w:lang w:val="ro-RO"/>
        </w:rPr>
        <w:t xml:space="preserve"> </w:t>
      </w:r>
      <w:r w:rsidR="00131704" w:rsidRPr="007375A8">
        <w:rPr>
          <w:b/>
          <w:lang w:val="ro-RO"/>
        </w:rPr>
        <w:t>cauze</w:t>
      </w:r>
      <w:r w:rsidRPr="007375A8">
        <w:rPr>
          <w:b/>
          <w:lang w:val="ro-RO"/>
        </w:rPr>
        <w:t>.</w:t>
      </w:r>
    </w:p>
    <w:p w:rsidR="00B9649F" w:rsidRDefault="00B9649F" w:rsidP="00385E33">
      <w:pPr>
        <w:ind w:right="-1"/>
        <w:rPr>
          <w:lang w:val="ro-RO"/>
        </w:rPr>
      </w:pPr>
    </w:p>
    <w:p w:rsidR="0056429B" w:rsidRDefault="0056429B" w:rsidP="00385E33">
      <w:pPr>
        <w:ind w:right="-1"/>
        <w:rPr>
          <w:lang w:val="ro-RO"/>
        </w:rPr>
      </w:pPr>
    </w:p>
    <w:p w:rsidR="0056429B" w:rsidRDefault="0056429B" w:rsidP="00385E33">
      <w:pPr>
        <w:ind w:right="-1"/>
        <w:rPr>
          <w:lang w:val="ro-RO"/>
        </w:rPr>
      </w:pPr>
    </w:p>
    <w:p w:rsidR="0056429B" w:rsidRDefault="0056429B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B9649F" w:rsidRDefault="00B9649F" w:rsidP="00385E33">
      <w:pPr>
        <w:ind w:right="-1"/>
        <w:rPr>
          <w:color w:val="000000" w:themeColor="text1"/>
          <w:lang w:val="ro-RO"/>
        </w:rPr>
      </w:pPr>
    </w:p>
    <w:p w:rsidR="00385E33" w:rsidRPr="00385E33" w:rsidRDefault="00385E33" w:rsidP="00385E33">
      <w:pPr>
        <w:ind w:right="-1"/>
        <w:rPr>
          <w:b/>
          <w:color w:val="000000" w:themeColor="text1"/>
          <w:lang w:val="ro-RO"/>
        </w:rPr>
      </w:pPr>
    </w:p>
    <w:p w:rsidR="009C3FB1" w:rsidRDefault="009C3FB1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764CB" w:rsidRDefault="00A468D8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035FDD" w:rsidRPr="00A468D8" w:rsidRDefault="00035FDD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83439B" w:rsidRDefault="00B9649F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36F965A" wp14:editId="68059DA4">
            <wp:extent cx="5637437" cy="2870548"/>
            <wp:effectExtent l="0" t="0" r="1905" b="635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9649F" w:rsidRPr="00B120AE" w:rsidRDefault="00B9649F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B9649F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19949BAF" wp14:editId="32915878">
            <wp:extent cx="6458733" cy="3327225"/>
            <wp:effectExtent l="0" t="0" r="18415" b="69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773" w:rsidRPr="00B120AE" w:rsidRDefault="00B9649F" w:rsidP="00C670E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5FCB7239" wp14:editId="1BCFE70B">
            <wp:extent cx="5545377" cy="2948835"/>
            <wp:effectExtent l="0" t="0" r="17780" b="444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0ED2" w:rsidRPr="006A6CB5" w:rsidRDefault="00F20ED2" w:rsidP="00F20ED2">
      <w:pPr>
        <w:ind w:right="-1"/>
        <w:jc w:val="center"/>
        <w:rPr>
          <w:b/>
          <w:lang w:val="ro-RO"/>
        </w:rPr>
      </w:pPr>
      <w:r w:rsidRPr="006A6CB5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6A6CB5" w:rsidRDefault="00850420" w:rsidP="00277A91">
      <w:pPr>
        <w:rPr>
          <w:lang w:val="ro-RO"/>
        </w:rPr>
      </w:pPr>
    </w:p>
    <w:p w:rsidR="00895B4F" w:rsidRPr="006B3C9B" w:rsidRDefault="00895B4F" w:rsidP="0081409A">
      <w:pPr>
        <w:ind w:right="-1"/>
        <w:rPr>
          <w:lang w:val="ro-RO"/>
        </w:rPr>
      </w:pPr>
      <w:r w:rsidRPr="006B3C9B">
        <w:rPr>
          <w:lang w:val="ro-RO"/>
        </w:rPr>
        <w:t xml:space="preserve">Datele statistice pe </w:t>
      </w:r>
      <w:r w:rsidRPr="006B3C9B">
        <w:rPr>
          <w:i/>
          <w:lang w:val="ro-RO"/>
        </w:rPr>
        <w:t>cauzele penale</w:t>
      </w:r>
      <w:r w:rsidR="00F20ED2" w:rsidRPr="006B3C9B">
        <w:rPr>
          <w:i/>
          <w:lang w:val="ro-RO"/>
        </w:rPr>
        <w:t xml:space="preserve"> în ordine de apel</w:t>
      </w:r>
      <w:r w:rsidR="00F20ED2" w:rsidRPr="006B3C9B">
        <w:rPr>
          <w:lang w:val="ro-RO"/>
        </w:rPr>
        <w:t xml:space="preserve"> parvenite spre examinare din judecătoriile din raza de activitate a Curț</w:t>
      </w:r>
      <w:r w:rsidR="00FA2D71" w:rsidRPr="006B3C9B">
        <w:rPr>
          <w:lang w:val="ro-RO"/>
        </w:rPr>
        <w:t xml:space="preserve">ii de Apel Cahul, în perioada </w:t>
      </w:r>
      <w:r w:rsidR="00FC5880">
        <w:rPr>
          <w:lang w:val="ro-RO"/>
        </w:rPr>
        <w:t>6 luni</w:t>
      </w:r>
      <w:r w:rsidR="006B3C9B" w:rsidRPr="006B3C9B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177734" w:rsidRPr="006B3C9B">
        <w:rPr>
          <w:lang w:val="ro-RO"/>
        </w:rPr>
        <w:t xml:space="preserve"> </w:t>
      </w:r>
      <w:r w:rsidR="00F20ED2" w:rsidRPr="006B3C9B">
        <w:rPr>
          <w:lang w:val="ro-RO"/>
        </w:rPr>
        <w:t>sunt următoarele:</w:t>
      </w:r>
    </w:p>
    <w:p w:rsidR="00895B4F" w:rsidRPr="005A35F3" w:rsidRDefault="00895B4F" w:rsidP="00C07989">
      <w:pPr>
        <w:ind w:firstLine="0"/>
        <w:rPr>
          <w:lang w:val="ro-RO"/>
        </w:rPr>
      </w:pPr>
      <w:r w:rsidRPr="005A35F3">
        <w:rPr>
          <w:b/>
          <w:u w:val="single"/>
          <w:lang w:val="ro-RO"/>
        </w:rPr>
        <w:t>Judecătoria Cahul</w:t>
      </w:r>
      <w:r w:rsidR="00277A91" w:rsidRPr="005A35F3">
        <w:rPr>
          <w:lang w:val="ro-RO"/>
        </w:rPr>
        <w:t xml:space="preserve"> –</w:t>
      </w:r>
      <w:r w:rsidR="00416BF5">
        <w:rPr>
          <w:lang w:val="ro-RO"/>
        </w:rPr>
        <w:t xml:space="preserve"> </w:t>
      </w:r>
      <w:r w:rsidRPr="005A35F3">
        <w:rPr>
          <w:lang w:val="ro-RO"/>
        </w:rPr>
        <w:t xml:space="preserve">examinate – </w:t>
      </w:r>
      <w:r w:rsidR="00723797">
        <w:rPr>
          <w:b/>
          <w:lang w:val="en-US"/>
        </w:rPr>
        <w:t>72</w:t>
      </w:r>
      <w:r w:rsidRPr="005A35F3">
        <w:rPr>
          <w:lang w:val="ro-RO"/>
        </w:rPr>
        <w:t xml:space="preserve"> cauze (Nr. persoane - </w:t>
      </w:r>
      <w:r w:rsidR="00723797">
        <w:rPr>
          <w:b/>
          <w:lang w:val="en-US"/>
        </w:rPr>
        <w:t>85</w:t>
      </w:r>
      <w:r w:rsidRPr="005A35F3">
        <w:rPr>
          <w:lang w:val="ro-RO"/>
        </w:rPr>
        <w:t xml:space="preserve">), </w:t>
      </w:r>
      <w:r w:rsidR="00084148" w:rsidRPr="005A35F3">
        <w:rPr>
          <w:lang w:val="ro-RO"/>
        </w:rPr>
        <w:t xml:space="preserve">cu </w:t>
      </w:r>
      <w:r w:rsidR="00723797">
        <w:rPr>
          <w:b/>
          <w:lang w:val="en-US"/>
        </w:rPr>
        <w:t>15</w:t>
      </w:r>
      <w:r w:rsidR="00084148" w:rsidRPr="005A35F3">
        <w:rPr>
          <w:lang w:val="ro-RO"/>
        </w:rPr>
        <w:t xml:space="preserve"> cauz</w:t>
      </w:r>
      <w:r w:rsidR="002B1919" w:rsidRPr="005A35F3">
        <w:rPr>
          <w:lang w:val="ro-RO"/>
        </w:rPr>
        <w:t>e</w:t>
      </w:r>
      <w:r w:rsidR="00084148" w:rsidRPr="005A35F3">
        <w:rPr>
          <w:lang w:val="ro-RO"/>
        </w:rPr>
        <w:t xml:space="preserve"> mai </w:t>
      </w:r>
      <w:r w:rsidR="0046370F" w:rsidRPr="005A35F3">
        <w:rPr>
          <w:lang w:val="ro-RO"/>
        </w:rPr>
        <w:t>mult</w:t>
      </w:r>
      <w:r w:rsidR="00084148" w:rsidRPr="005A35F3">
        <w:rPr>
          <w:lang w:val="ro-RO"/>
        </w:rPr>
        <w:t xml:space="preserve"> ca î</w:t>
      </w:r>
      <w:r w:rsidR="00177734" w:rsidRPr="005A35F3">
        <w:rPr>
          <w:lang w:val="ro-RO"/>
        </w:rPr>
        <w:t>n aceeași perioadă a anulu</w:t>
      </w:r>
      <w:r w:rsidR="006B3C9B" w:rsidRPr="005A35F3">
        <w:rPr>
          <w:lang w:val="ro-RO"/>
        </w:rPr>
        <w:t xml:space="preserve">i </w:t>
      </w:r>
      <w:r w:rsidR="0028196B">
        <w:rPr>
          <w:lang w:val="ro-RO"/>
        </w:rPr>
        <w:t>2018</w:t>
      </w:r>
      <w:r w:rsidRPr="005A35F3">
        <w:rPr>
          <w:lang w:val="ro-RO"/>
        </w:rPr>
        <w:t xml:space="preserve">, din care : </w:t>
      </w:r>
    </w:p>
    <w:p w:rsidR="00C07989" w:rsidRPr="005A35F3" w:rsidRDefault="00895B4F" w:rsidP="00C07989">
      <w:pPr>
        <w:pStyle w:val="ac"/>
        <w:numPr>
          <w:ilvl w:val="0"/>
          <w:numId w:val="13"/>
        </w:numPr>
        <w:ind w:left="567" w:hanging="207"/>
        <w:rPr>
          <w:rFonts w:ascii="Times New Roman" w:hAnsi="Times New Roman"/>
          <w:sz w:val="22"/>
          <w:lang w:val="ro-RO"/>
        </w:rPr>
      </w:pPr>
      <w:r w:rsidRPr="005A35F3">
        <w:rPr>
          <w:rStyle w:val="ae"/>
          <w:sz w:val="22"/>
        </w:rPr>
        <w:t>menținute</w:t>
      </w:r>
      <w:r w:rsidRPr="005A35F3">
        <w:rPr>
          <w:rFonts w:ascii="Times New Roman" w:hAnsi="Times New Roman"/>
          <w:sz w:val="22"/>
          <w:lang w:val="ro-RO"/>
        </w:rPr>
        <w:t xml:space="preserve"> fără modificări – </w:t>
      </w:r>
      <w:r w:rsidR="00723797">
        <w:rPr>
          <w:rFonts w:ascii="Times New Roman" w:hAnsi="Times New Roman"/>
          <w:b/>
          <w:sz w:val="22"/>
          <w:lang w:val="en-US"/>
        </w:rPr>
        <w:t>40</w:t>
      </w:r>
      <w:r w:rsidR="00416BF5">
        <w:rPr>
          <w:rFonts w:ascii="Times New Roman" w:hAnsi="Times New Roman"/>
          <w:b/>
          <w:sz w:val="22"/>
          <w:lang w:val="en-US"/>
        </w:rPr>
        <w:t xml:space="preserve"> </w:t>
      </w:r>
      <w:r w:rsidR="00416BF5" w:rsidRPr="00416BF5">
        <w:rPr>
          <w:rStyle w:val="ae"/>
          <w:sz w:val="22"/>
        </w:rPr>
        <w:t>cauze</w:t>
      </w:r>
      <w:r w:rsidR="00084148" w:rsidRPr="005A35F3">
        <w:rPr>
          <w:rFonts w:ascii="Times New Roman" w:hAnsi="Times New Roman"/>
          <w:b/>
          <w:sz w:val="22"/>
          <w:lang w:val="ro-RO"/>
        </w:rPr>
        <w:t xml:space="preserve"> </w:t>
      </w:r>
      <w:r w:rsidRPr="005A35F3">
        <w:rPr>
          <w:rFonts w:ascii="Times New Roman" w:hAnsi="Times New Roman"/>
          <w:sz w:val="22"/>
          <w:lang w:val="ro-RO"/>
        </w:rPr>
        <w:t>(</w:t>
      </w:r>
      <w:r w:rsidR="00723797">
        <w:rPr>
          <w:rFonts w:ascii="Times New Roman" w:hAnsi="Times New Roman"/>
          <w:sz w:val="22"/>
          <w:lang w:val="en-US"/>
        </w:rPr>
        <w:t>55,56</w:t>
      </w:r>
      <w:r w:rsidRPr="005A35F3">
        <w:rPr>
          <w:rFonts w:ascii="Times New Roman" w:hAnsi="Times New Roman"/>
          <w:sz w:val="22"/>
          <w:lang w:val="ro-RO"/>
        </w:rPr>
        <w:t xml:space="preserve">%), cu </w:t>
      </w:r>
      <w:r w:rsidR="00723797">
        <w:rPr>
          <w:rFonts w:ascii="Times New Roman" w:hAnsi="Times New Roman"/>
          <w:sz w:val="22"/>
          <w:lang w:val="ro-RO"/>
        </w:rPr>
        <w:t>1</w:t>
      </w:r>
      <w:r w:rsidR="00723797">
        <w:rPr>
          <w:rFonts w:ascii="Times New Roman" w:hAnsi="Times New Roman"/>
          <w:b/>
          <w:sz w:val="22"/>
          <w:lang w:val="en-US"/>
        </w:rPr>
        <w:t>2</w:t>
      </w:r>
      <w:r w:rsidR="002A7E8F">
        <w:rPr>
          <w:rFonts w:ascii="Times New Roman" w:hAnsi="Times New Roman"/>
          <w:sz w:val="22"/>
          <w:lang w:val="ro-RO"/>
        </w:rPr>
        <w:t xml:space="preserve"> cauze</w:t>
      </w:r>
      <w:r w:rsidRPr="005A35F3">
        <w:rPr>
          <w:rFonts w:ascii="Times New Roman" w:hAnsi="Times New Roman"/>
          <w:sz w:val="22"/>
          <w:lang w:val="ro-RO"/>
        </w:rPr>
        <w:t xml:space="preserve"> mai </w:t>
      </w:r>
      <w:r w:rsidR="0046370F" w:rsidRPr="005A35F3">
        <w:rPr>
          <w:rFonts w:ascii="Times New Roman" w:hAnsi="Times New Roman"/>
          <w:sz w:val="22"/>
          <w:lang w:val="ro-RO"/>
        </w:rPr>
        <w:t xml:space="preserve">mult </w:t>
      </w:r>
      <w:r w:rsidRPr="005A35F3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5A35F3">
        <w:rPr>
          <w:rFonts w:ascii="Times New Roman" w:hAnsi="Times New Roman"/>
          <w:sz w:val="22"/>
          <w:lang w:val="ro-RO"/>
        </w:rPr>
        <w:t>.</w:t>
      </w:r>
    </w:p>
    <w:p w:rsidR="00895B4F" w:rsidRPr="005A35F3" w:rsidRDefault="00895B4F" w:rsidP="00C07989">
      <w:pPr>
        <w:pStyle w:val="ac"/>
        <w:numPr>
          <w:ilvl w:val="0"/>
          <w:numId w:val="13"/>
        </w:numPr>
        <w:ind w:left="567" w:hanging="207"/>
        <w:rPr>
          <w:sz w:val="22"/>
          <w:lang w:val="ro-RO"/>
        </w:rPr>
      </w:pPr>
      <w:r w:rsidRPr="005A35F3">
        <w:rPr>
          <w:rStyle w:val="ae"/>
          <w:sz w:val="22"/>
        </w:rPr>
        <w:t xml:space="preserve">casate cu </w:t>
      </w:r>
      <w:r w:rsidR="00850420" w:rsidRPr="005A35F3">
        <w:rPr>
          <w:rStyle w:val="ae"/>
          <w:sz w:val="22"/>
        </w:rPr>
        <w:t>pronunțarea</w:t>
      </w:r>
      <w:r w:rsidRPr="005A35F3">
        <w:rPr>
          <w:rStyle w:val="ae"/>
          <w:sz w:val="22"/>
        </w:rPr>
        <w:t xml:space="preserve"> unei noi </w:t>
      </w:r>
      <w:r w:rsidR="00850420" w:rsidRPr="005A35F3">
        <w:rPr>
          <w:rStyle w:val="ae"/>
          <w:sz w:val="22"/>
        </w:rPr>
        <w:t>hotărâri</w:t>
      </w:r>
      <w:r w:rsidRPr="005A35F3">
        <w:rPr>
          <w:rStyle w:val="ae"/>
          <w:sz w:val="22"/>
        </w:rPr>
        <w:t xml:space="preserve"> – </w:t>
      </w:r>
      <w:r w:rsidR="00723797">
        <w:rPr>
          <w:rStyle w:val="ae"/>
          <w:b/>
          <w:sz w:val="22"/>
        </w:rPr>
        <w:t>32</w:t>
      </w:r>
      <w:r w:rsidR="00084148" w:rsidRPr="005A35F3">
        <w:rPr>
          <w:rStyle w:val="ae"/>
          <w:sz w:val="22"/>
        </w:rPr>
        <w:t xml:space="preserve"> </w:t>
      </w:r>
      <w:r w:rsidR="00416BF5" w:rsidRPr="00416BF5">
        <w:rPr>
          <w:rStyle w:val="ae"/>
          <w:sz w:val="22"/>
        </w:rPr>
        <w:t>cauze</w:t>
      </w:r>
      <w:r w:rsidR="00416BF5" w:rsidRPr="007375A8">
        <w:rPr>
          <w:rStyle w:val="ae"/>
          <w:sz w:val="22"/>
        </w:rPr>
        <w:t xml:space="preserve"> </w:t>
      </w:r>
      <w:r w:rsidRPr="005A35F3">
        <w:rPr>
          <w:rStyle w:val="ae"/>
          <w:sz w:val="22"/>
        </w:rPr>
        <w:t>(</w:t>
      </w:r>
      <w:r w:rsidR="00723797">
        <w:rPr>
          <w:rStyle w:val="ae"/>
          <w:sz w:val="22"/>
        </w:rPr>
        <w:t>44,44</w:t>
      </w:r>
      <w:r w:rsidRPr="005A35F3">
        <w:rPr>
          <w:rStyle w:val="ae"/>
          <w:sz w:val="22"/>
        </w:rPr>
        <w:t xml:space="preserve">%), cu </w:t>
      </w:r>
      <w:r w:rsidR="00723797">
        <w:rPr>
          <w:rStyle w:val="ae"/>
          <w:b/>
          <w:sz w:val="22"/>
        </w:rPr>
        <w:t>3</w:t>
      </w:r>
      <w:r w:rsidR="005A35F3" w:rsidRPr="005A35F3">
        <w:rPr>
          <w:rStyle w:val="ae"/>
          <w:sz w:val="22"/>
        </w:rPr>
        <w:t xml:space="preserve"> cauze</w:t>
      </w:r>
      <w:r w:rsidRPr="005A35F3">
        <w:rPr>
          <w:rStyle w:val="ae"/>
          <w:sz w:val="22"/>
        </w:rPr>
        <w:t xml:space="preserve"> mai </w:t>
      </w:r>
      <w:r w:rsidR="00723797">
        <w:rPr>
          <w:rFonts w:ascii="Times New Roman" w:hAnsi="Times New Roman"/>
          <w:lang w:val="ro-RO"/>
        </w:rPr>
        <w:t>mult</w:t>
      </w:r>
      <w:r w:rsidR="00084148" w:rsidRPr="005A35F3">
        <w:rPr>
          <w:rStyle w:val="ae"/>
          <w:rFonts w:ascii="Berlin Sans FB" w:hAnsi="Berlin Sans FB"/>
          <w:sz w:val="22"/>
        </w:rPr>
        <w:t xml:space="preserve"> </w:t>
      </w:r>
      <w:r w:rsidRPr="005A35F3">
        <w:rPr>
          <w:rStyle w:val="ae"/>
          <w:sz w:val="22"/>
        </w:rPr>
        <w:t>ca î</w:t>
      </w:r>
      <w:r w:rsidR="00141D87" w:rsidRPr="005A35F3">
        <w:rPr>
          <w:rStyle w:val="ae"/>
          <w:sz w:val="22"/>
        </w:rPr>
        <w:t xml:space="preserve">n </w:t>
      </w:r>
      <w:r w:rsidR="00850420" w:rsidRPr="005A35F3">
        <w:rPr>
          <w:rStyle w:val="ae"/>
          <w:sz w:val="22"/>
        </w:rPr>
        <w:t>aceeași</w:t>
      </w:r>
      <w:r w:rsidR="006B3C9B" w:rsidRPr="005A35F3">
        <w:rPr>
          <w:rStyle w:val="ae"/>
          <w:sz w:val="22"/>
        </w:rPr>
        <w:t xml:space="preserve"> perioadă a anului </w:t>
      </w:r>
      <w:r w:rsidR="0028196B">
        <w:rPr>
          <w:rStyle w:val="ae"/>
          <w:sz w:val="22"/>
        </w:rPr>
        <w:t>2018</w:t>
      </w:r>
      <w:r w:rsidRPr="005A35F3">
        <w:rPr>
          <w:rStyle w:val="ae"/>
          <w:sz w:val="22"/>
        </w:rPr>
        <w:t xml:space="preserve">.  </w:t>
      </w:r>
      <w:r w:rsidR="00416BF5">
        <w:rPr>
          <w:rStyle w:val="ae"/>
          <w:sz w:val="22"/>
        </w:rPr>
        <w:t xml:space="preserve"> </w:t>
      </w:r>
    </w:p>
    <w:p w:rsidR="00C07989" w:rsidRDefault="008E7B34" w:rsidP="00C07989">
      <w:pPr>
        <w:ind w:firstLine="0"/>
        <w:rPr>
          <w:lang w:val="ro-RO"/>
        </w:rPr>
      </w:pPr>
      <w:r w:rsidRPr="006B3C9B">
        <w:rPr>
          <w:b/>
          <w:u w:val="single"/>
          <w:lang w:val="ro-RO"/>
        </w:rPr>
        <w:t>Judecătoria Cahul cu sediul în or. Cantemir</w:t>
      </w:r>
      <w:r w:rsidRPr="006B3C9B">
        <w:rPr>
          <w:lang w:val="ro-RO"/>
        </w:rPr>
        <w:t xml:space="preserve"> – examinate – </w:t>
      </w:r>
      <w:r w:rsidR="00723797">
        <w:rPr>
          <w:b/>
          <w:lang w:val="en-US"/>
        </w:rPr>
        <w:t>26</w:t>
      </w:r>
      <w:r w:rsidRPr="006B3C9B">
        <w:rPr>
          <w:lang w:val="ro-RO"/>
        </w:rPr>
        <w:t xml:space="preserve"> cauze (Nr. persoane - </w:t>
      </w:r>
      <w:r w:rsidR="00723797">
        <w:rPr>
          <w:b/>
          <w:lang w:val="en-US"/>
        </w:rPr>
        <w:t>30</w:t>
      </w:r>
      <w:r w:rsidRPr="006B3C9B">
        <w:rPr>
          <w:lang w:val="ro-RO"/>
        </w:rPr>
        <w:t xml:space="preserve">), cu </w:t>
      </w:r>
      <w:r w:rsidR="00723797">
        <w:rPr>
          <w:b/>
          <w:lang w:val="en-US"/>
        </w:rPr>
        <w:t>4</w:t>
      </w:r>
      <w:r w:rsidRPr="006B3C9B">
        <w:rPr>
          <w:lang w:val="ro-RO"/>
        </w:rPr>
        <w:t xml:space="preserve"> cauz</w:t>
      </w:r>
      <w:r w:rsidR="00E36559">
        <w:rPr>
          <w:lang w:val="ro-RO"/>
        </w:rPr>
        <w:t>ă</w:t>
      </w:r>
      <w:r w:rsidRPr="006B3C9B">
        <w:rPr>
          <w:lang w:val="ro-RO"/>
        </w:rPr>
        <w:t xml:space="preserve"> mai </w:t>
      </w:r>
      <w:r w:rsidR="00723797">
        <w:rPr>
          <w:lang w:val="ro-RO"/>
        </w:rPr>
        <w:t>mult</w:t>
      </w:r>
      <w:r w:rsidRPr="006B3C9B">
        <w:rPr>
          <w:lang w:val="ro-RO"/>
        </w:rPr>
        <w:t xml:space="preserve"> ca în aceeași perioadă a anului </w:t>
      </w:r>
      <w:r w:rsidR="0028196B">
        <w:rPr>
          <w:lang w:val="ro-RO"/>
        </w:rPr>
        <w:t>2018</w:t>
      </w:r>
      <w:r w:rsidRPr="006B3C9B">
        <w:rPr>
          <w:lang w:val="ro-RO"/>
        </w:rPr>
        <w:t xml:space="preserve">, din care : </w:t>
      </w:r>
    </w:p>
    <w:p w:rsidR="007375A8" w:rsidRDefault="008E7B34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C07989">
        <w:rPr>
          <w:rStyle w:val="ae"/>
          <w:sz w:val="22"/>
        </w:rPr>
        <w:t xml:space="preserve">menținute fără modificări – </w:t>
      </w:r>
      <w:r w:rsidR="00723797">
        <w:rPr>
          <w:rStyle w:val="ae"/>
          <w:b/>
          <w:sz w:val="22"/>
          <w:lang w:val="en-US"/>
        </w:rPr>
        <w:t>9</w:t>
      </w:r>
      <w:r w:rsidRPr="00C07989">
        <w:rPr>
          <w:rStyle w:val="ae"/>
          <w:sz w:val="22"/>
        </w:rPr>
        <w:t xml:space="preserve"> </w:t>
      </w:r>
      <w:r w:rsidR="00416BF5" w:rsidRPr="00416BF5">
        <w:rPr>
          <w:rStyle w:val="ae"/>
          <w:sz w:val="22"/>
        </w:rPr>
        <w:t>cauze</w:t>
      </w:r>
      <w:r w:rsidR="00416BF5" w:rsidRPr="007375A8">
        <w:rPr>
          <w:rStyle w:val="ae"/>
          <w:sz w:val="22"/>
        </w:rPr>
        <w:t xml:space="preserve"> </w:t>
      </w:r>
      <w:r w:rsidRPr="00C07989">
        <w:rPr>
          <w:rStyle w:val="ae"/>
          <w:sz w:val="22"/>
        </w:rPr>
        <w:t>(</w:t>
      </w:r>
      <w:r w:rsidR="00723797">
        <w:rPr>
          <w:rStyle w:val="ae"/>
          <w:sz w:val="22"/>
        </w:rPr>
        <w:t>34,62</w:t>
      </w:r>
      <w:r w:rsidRPr="00C07989">
        <w:rPr>
          <w:rStyle w:val="ae"/>
          <w:sz w:val="22"/>
        </w:rPr>
        <w:t xml:space="preserve">%), cu </w:t>
      </w:r>
      <w:r w:rsidR="00E36559">
        <w:rPr>
          <w:rStyle w:val="ae"/>
          <w:b/>
          <w:sz w:val="22"/>
          <w:lang w:val="en-US"/>
        </w:rPr>
        <w:t>4</w:t>
      </w:r>
      <w:r w:rsidRPr="00C07989">
        <w:rPr>
          <w:rStyle w:val="ae"/>
          <w:sz w:val="22"/>
        </w:rPr>
        <w:t xml:space="preserve"> cauze mai </w:t>
      </w:r>
      <w:r w:rsidR="00E36559">
        <w:rPr>
          <w:rStyle w:val="ae"/>
          <w:sz w:val="22"/>
        </w:rPr>
        <w:t>puțin</w:t>
      </w:r>
      <w:r w:rsidRPr="00C07989">
        <w:rPr>
          <w:rStyle w:val="ae"/>
          <w:sz w:val="22"/>
        </w:rPr>
        <w:t xml:space="preserve"> ca în aceeași perioadă a anului </w:t>
      </w:r>
      <w:r w:rsidR="0028196B">
        <w:rPr>
          <w:rStyle w:val="ae"/>
          <w:sz w:val="22"/>
        </w:rPr>
        <w:t>2018</w:t>
      </w:r>
      <w:r w:rsidRPr="00C07989">
        <w:rPr>
          <w:rStyle w:val="ae"/>
          <w:sz w:val="22"/>
        </w:rPr>
        <w:t>,</w:t>
      </w:r>
    </w:p>
    <w:p w:rsidR="008E7B34" w:rsidRPr="007375A8" w:rsidRDefault="008E7B34" w:rsidP="007375A8">
      <w:pPr>
        <w:pStyle w:val="ac"/>
        <w:numPr>
          <w:ilvl w:val="0"/>
          <w:numId w:val="13"/>
        </w:numPr>
        <w:rPr>
          <w:rFonts w:ascii="Times New Roman" w:hAnsi="Times New Roman"/>
          <w:iCs/>
          <w:sz w:val="22"/>
          <w:lang w:val="ro-RO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723797">
        <w:rPr>
          <w:rStyle w:val="ae"/>
          <w:b/>
          <w:sz w:val="22"/>
        </w:rPr>
        <w:t>17</w:t>
      </w:r>
      <w:r w:rsidRPr="007375A8">
        <w:rPr>
          <w:rStyle w:val="ae"/>
          <w:sz w:val="22"/>
        </w:rPr>
        <w:t xml:space="preserve"> </w:t>
      </w:r>
      <w:r w:rsidR="00416BF5" w:rsidRPr="00416BF5">
        <w:rPr>
          <w:rStyle w:val="ae"/>
          <w:sz w:val="22"/>
        </w:rPr>
        <w:t>cauze</w:t>
      </w:r>
      <w:r w:rsidR="00416BF5" w:rsidRPr="007375A8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>(</w:t>
      </w:r>
      <w:r w:rsidR="00723797">
        <w:rPr>
          <w:rStyle w:val="ae"/>
          <w:sz w:val="22"/>
        </w:rPr>
        <w:t>65,38</w:t>
      </w:r>
      <w:r w:rsidRPr="007375A8">
        <w:rPr>
          <w:rStyle w:val="ae"/>
          <w:sz w:val="22"/>
        </w:rPr>
        <w:t xml:space="preserve"> %) , cu </w:t>
      </w:r>
      <w:r w:rsidR="00723797">
        <w:rPr>
          <w:rStyle w:val="ae"/>
          <w:b/>
          <w:sz w:val="22"/>
        </w:rPr>
        <w:t>8</w:t>
      </w:r>
      <w:r w:rsidRPr="007375A8">
        <w:rPr>
          <w:rStyle w:val="ae"/>
          <w:sz w:val="22"/>
        </w:rPr>
        <w:t xml:space="preserve"> cauze mai mult 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</w:p>
    <w:p w:rsidR="007375A8" w:rsidRDefault="008E7B34" w:rsidP="007375A8">
      <w:pPr>
        <w:ind w:firstLine="0"/>
        <w:rPr>
          <w:lang w:val="ro-RO"/>
        </w:rPr>
      </w:pPr>
      <w:r w:rsidRPr="003B089F">
        <w:rPr>
          <w:b/>
          <w:u w:val="single"/>
          <w:lang w:val="ro-RO"/>
        </w:rPr>
        <w:t xml:space="preserve">Judecătoria Cahul cu sediul în or. Taraclia </w:t>
      </w:r>
      <w:r w:rsidRPr="003B089F">
        <w:rPr>
          <w:lang w:val="ro-RO"/>
        </w:rPr>
        <w:t xml:space="preserve">– examinate – </w:t>
      </w:r>
      <w:r w:rsidR="00723797">
        <w:rPr>
          <w:b/>
          <w:lang w:val="ro-RO"/>
        </w:rPr>
        <w:t>33</w:t>
      </w:r>
      <w:r w:rsidRPr="003B089F">
        <w:rPr>
          <w:lang w:val="ro-RO"/>
        </w:rPr>
        <w:t xml:space="preserve"> cauze (Nr. persoane - </w:t>
      </w:r>
      <w:r w:rsidR="00723797">
        <w:rPr>
          <w:b/>
          <w:lang w:val="ro-RO"/>
        </w:rPr>
        <w:t>39</w:t>
      </w:r>
      <w:r w:rsidRPr="003B089F">
        <w:rPr>
          <w:lang w:val="ro-RO"/>
        </w:rPr>
        <w:t xml:space="preserve">), </w:t>
      </w:r>
      <w:r w:rsidRPr="006B3C9B">
        <w:rPr>
          <w:lang w:val="ro-RO"/>
        </w:rPr>
        <w:t xml:space="preserve">cu </w:t>
      </w:r>
      <w:r w:rsidR="00E36559">
        <w:rPr>
          <w:b/>
          <w:lang w:val="ro-RO"/>
        </w:rPr>
        <w:t>1</w:t>
      </w:r>
      <w:r w:rsidRPr="006B3C9B">
        <w:rPr>
          <w:lang w:val="ro-RO"/>
        </w:rPr>
        <w:t xml:space="preserve"> cauz</w:t>
      </w:r>
      <w:r w:rsidR="00E36559">
        <w:rPr>
          <w:lang w:val="ro-RO"/>
        </w:rPr>
        <w:t>ă</w:t>
      </w:r>
      <w:r>
        <w:rPr>
          <w:lang w:val="ro-RO"/>
        </w:rPr>
        <w:t xml:space="preserve"> </w:t>
      </w:r>
      <w:r w:rsidRPr="006B3C9B">
        <w:rPr>
          <w:lang w:val="ro-RO"/>
        </w:rPr>
        <w:t xml:space="preserve">mai </w:t>
      </w:r>
      <w:r w:rsidR="00723797">
        <w:rPr>
          <w:lang w:val="ro-RO"/>
        </w:rPr>
        <w:t>puțin</w:t>
      </w:r>
      <w:r w:rsidRPr="006B3C9B">
        <w:rPr>
          <w:lang w:val="ro-RO"/>
        </w:rPr>
        <w:t xml:space="preserve"> </w:t>
      </w:r>
      <w:r w:rsidRPr="003B089F">
        <w:rPr>
          <w:lang w:val="ro-RO"/>
        </w:rPr>
        <w:t xml:space="preserve">ca în aceeași perioadă a anului </w:t>
      </w:r>
      <w:r w:rsidR="0028196B">
        <w:rPr>
          <w:lang w:val="ro-RO"/>
        </w:rPr>
        <w:t>2018</w:t>
      </w:r>
      <w:r w:rsidRPr="003B089F">
        <w:rPr>
          <w:lang w:val="ro-RO"/>
        </w:rPr>
        <w:t>, din care:</w:t>
      </w:r>
    </w:p>
    <w:p w:rsidR="007375A8" w:rsidRPr="007375A8" w:rsidRDefault="008E7B34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723797">
        <w:rPr>
          <w:rStyle w:val="ae"/>
          <w:b/>
          <w:sz w:val="22"/>
        </w:rPr>
        <w:t>21</w:t>
      </w:r>
      <w:r w:rsidRPr="007375A8">
        <w:rPr>
          <w:rStyle w:val="ae"/>
          <w:sz w:val="22"/>
        </w:rPr>
        <w:t xml:space="preserve"> </w:t>
      </w:r>
      <w:r w:rsidR="00416BF5" w:rsidRPr="00416BF5">
        <w:rPr>
          <w:rStyle w:val="ae"/>
          <w:sz w:val="22"/>
        </w:rPr>
        <w:t>cauze</w:t>
      </w:r>
      <w:r w:rsidR="00416BF5" w:rsidRPr="007375A8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>(</w:t>
      </w:r>
      <w:r w:rsidR="00723797">
        <w:rPr>
          <w:rStyle w:val="ae"/>
          <w:sz w:val="22"/>
        </w:rPr>
        <w:t>63,64</w:t>
      </w:r>
      <w:r w:rsidRPr="007375A8">
        <w:rPr>
          <w:rStyle w:val="ae"/>
          <w:sz w:val="22"/>
        </w:rPr>
        <w:t xml:space="preserve"> %), cu </w:t>
      </w:r>
      <w:r w:rsidR="00723797">
        <w:rPr>
          <w:rStyle w:val="ae"/>
          <w:b/>
          <w:sz w:val="22"/>
        </w:rPr>
        <w:t>3</w:t>
      </w:r>
      <w:r w:rsidRPr="007375A8">
        <w:rPr>
          <w:rStyle w:val="ae"/>
          <w:sz w:val="22"/>
        </w:rPr>
        <w:t xml:space="preserve"> cauze mai </w:t>
      </w:r>
      <w:r w:rsidR="00723797">
        <w:rPr>
          <w:rStyle w:val="ae"/>
          <w:sz w:val="22"/>
        </w:rPr>
        <w:t>mult</w:t>
      </w:r>
      <w:r w:rsidR="00E36559"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</w:p>
    <w:p w:rsidR="008E7B34" w:rsidRPr="007375A8" w:rsidRDefault="008E7B34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723797">
        <w:rPr>
          <w:rStyle w:val="ae"/>
          <w:b/>
          <w:sz w:val="22"/>
        </w:rPr>
        <w:t>12</w:t>
      </w:r>
      <w:r w:rsidRPr="007375A8">
        <w:rPr>
          <w:rStyle w:val="ae"/>
          <w:sz w:val="22"/>
        </w:rPr>
        <w:t xml:space="preserve"> </w:t>
      </w:r>
      <w:r w:rsidR="00416BF5" w:rsidRPr="00416BF5">
        <w:rPr>
          <w:rStyle w:val="ae"/>
          <w:sz w:val="22"/>
        </w:rPr>
        <w:t>cauze</w:t>
      </w:r>
      <w:r w:rsidR="00416BF5" w:rsidRPr="007375A8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>(</w:t>
      </w:r>
      <w:r w:rsidR="00723797">
        <w:rPr>
          <w:rStyle w:val="ae"/>
          <w:sz w:val="22"/>
        </w:rPr>
        <w:t>36,36</w:t>
      </w:r>
      <w:r w:rsidRPr="007375A8">
        <w:rPr>
          <w:rStyle w:val="ae"/>
          <w:sz w:val="22"/>
        </w:rPr>
        <w:t xml:space="preserve">%), cu </w:t>
      </w:r>
      <w:r w:rsidR="00723797">
        <w:rPr>
          <w:rStyle w:val="ae"/>
          <w:b/>
          <w:sz w:val="22"/>
        </w:rPr>
        <w:t>4</w:t>
      </w:r>
      <w:r w:rsidRPr="007375A8">
        <w:rPr>
          <w:rStyle w:val="ae"/>
          <w:sz w:val="22"/>
        </w:rPr>
        <w:t xml:space="preserve"> cauze mai </w:t>
      </w:r>
      <w:r w:rsidR="00723797">
        <w:rPr>
          <w:rStyle w:val="ae"/>
          <w:sz w:val="22"/>
        </w:rPr>
        <w:t>puțin</w:t>
      </w:r>
      <w:r w:rsidRPr="007375A8">
        <w:rPr>
          <w:rStyle w:val="ae"/>
          <w:sz w:val="22"/>
        </w:rPr>
        <w:t xml:space="preserve"> 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</w:p>
    <w:p w:rsidR="007375A8" w:rsidRDefault="003B089F" w:rsidP="007375A8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>Judecătoria Comrat</w:t>
      </w:r>
      <w:r w:rsidR="001E60B8" w:rsidRPr="001E60B8">
        <w:rPr>
          <w:b/>
          <w:sz w:val="22"/>
          <w:u w:val="single"/>
          <w:lang w:val="ro-RO"/>
        </w:rPr>
        <w:t xml:space="preserve"> </w:t>
      </w:r>
      <w:r w:rsidR="001E60B8">
        <w:rPr>
          <w:b/>
          <w:sz w:val="22"/>
          <w:u w:val="single"/>
          <w:lang w:val="ro-RO"/>
        </w:rPr>
        <w:t>cu sediul Central</w:t>
      </w:r>
      <w:r w:rsidRPr="00196C20">
        <w:rPr>
          <w:lang w:val="ro-RO"/>
        </w:rPr>
        <w:t xml:space="preserve"> – examinate – </w:t>
      </w:r>
      <w:r w:rsidR="00723797">
        <w:rPr>
          <w:b/>
          <w:lang w:val="ro-RO"/>
        </w:rPr>
        <w:t>6</w:t>
      </w:r>
      <w:r w:rsidRPr="00196C20">
        <w:rPr>
          <w:b/>
          <w:lang w:val="ro-RO"/>
        </w:rPr>
        <w:t xml:space="preserve"> </w:t>
      </w:r>
      <w:r w:rsidRPr="00196C20">
        <w:rPr>
          <w:lang w:val="ro-RO"/>
        </w:rPr>
        <w:t xml:space="preserve">cauze (Nr. persoane - </w:t>
      </w:r>
      <w:r w:rsidR="00723797">
        <w:rPr>
          <w:b/>
          <w:lang w:val="ro-RO"/>
        </w:rPr>
        <w:t>6</w:t>
      </w:r>
      <w:r w:rsidRPr="00196C20">
        <w:rPr>
          <w:lang w:val="ro-RO"/>
        </w:rPr>
        <w:t xml:space="preserve"> ), </w:t>
      </w:r>
      <w:r w:rsidRPr="00196C20">
        <w:rPr>
          <w:rStyle w:val="ae"/>
          <w:sz w:val="22"/>
        </w:rPr>
        <w:t xml:space="preserve">cu </w:t>
      </w:r>
      <w:r w:rsidR="00723797">
        <w:rPr>
          <w:rStyle w:val="ae"/>
          <w:b/>
          <w:sz w:val="22"/>
        </w:rPr>
        <w:t>4</w:t>
      </w:r>
      <w:r w:rsidR="00723797">
        <w:rPr>
          <w:rStyle w:val="ae"/>
          <w:sz w:val="22"/>
        </w:rPr>
        <w:t xml:space="preserve"> cauze</w:t>
      </w:r>
      <w:r w:rsidRPr="00196C20">
        <w:rPr>
          <w:rStyle w:val="ae"/>
          <w:sz w:val="22"/>
        </w:rPr>
        <w:t xml:space="preserve"> mai </w:t>
      </w:r>
      <w:r w:rsidR="00CE1CFA">
        <w:rPr>
          <w:rStyle w:val="ae"/>
          <w:sz w:val="22"/>
        </w:rPr>
        <w:t>mult</w:t>
      </w:r>
      <w:r w:rsidRPr="00196C20">
        <w:rPr>
          <w:rStyle w:val="ae"/>
          <w:sz w:val="22"/>
        </w:rPr>
        <w:t xml:space="preserve"> </w:t>
      </w:r>
      <w:r w:rsidRPr="00196C20">
        <w:rPr>
          <w:lang w:val="ro-RO"/>
        </w:rPr>
        <w:t xml:space="preserve">ca în aceeași perioadă a anului </w:t>
      </w:r>
      <w:r w:rsidR="0028196B">
        <w:rPr>
          <w:lang w:val="ro-RO"/>
        </w:rPr>
        <w:t>2018</w:t>
      </w:r>
      <w:r w:rsidRPr="00196C20">
        <w:rPr>
          <w:lang w:val="ro-RO"/>
        </w:rPr>
        <w:t>, din care:</w:t>
      </w:r>
    </w:p>
    <w:p w:rsidR="007375A8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723797">
        <w:rPr>
          <w:rStyle w:val="ae"/>
          <w:b/>
          <w:sz w:val="22"/>
        </w:rPr>
        <w:t>2</w:t>
      </w:r>
      <w:r w:rsidR="00416BF5">
        <w:rPr>
          <w:rStyle w:val="ae"/>
          <w:b/>
          <w:sz w:val="22"/>
        </w:rPr>
        <w:t xml:space="preserve"> </w:t>
      </w:r>
      <w:r w:rsidR="00416BF5" w:rsidRPr="00416BF5">
        <w:rPr>
          <w:rStyle w:val="ae"/>
          <w:sz w:val="22"/>
        </w:rPr>
        <w:t>cauze</w:t>
      </w:r>
      <w:r w:rsidRPr="007375A8">
        <w:rPr>
          <w:rStyle w:val="ae"/>
          <w:sz w:val="22"/>
        </w:rPr>
        <w:t xml:space="preserve"> (</w:t>
      </w:r>
      <w:r w:rsidR="00723797">
        <w:rPr>
          <w:rStyle w:val="ae"/>
          <w:sz w:val="22"/>
        </w:rPr>
        <w:t>33,33</w:t>
      </w:r>
      <w:r w:rsidRPr="007375A8">
        <w:rPr>
          <w:rStyle w:val="ae"/>
          <w:sz w:val="22"/>
        </w:rPr>
        <w:t xml:space="preserve">%), </w:t>
      </w:r>
      <w:r w:rsidR="00196C20" w:rsidRPr="007375A8">
        <w:rPr>
          <w:rStyle w:val="ae"/>
          <w:sz w:val="22"/>
        </w:rPr>
        <w:t xml:space="preserve">cu </w:t>
      </w:r>
      <w:r w:rsidR="00723797">
        <w:rPr>
          <w:rStyle w:val="ae"/>
          <w:b/>
          <w:sz w:val="22"/>
        </w:rPr>
        <w:t>2</w:t>
      </w:r>
      <w:r w:rsidR="00723797">
        <w:rPr>
          <w:rStyle w:val="ae"/>
          <w:sz w:val="22"/>
        </w:rPr>
        <w:t xml:space="preserve"> cauze</w:t>
      </w:r>
      <w:r w:rsidR="00196C20" w:rsidRPr="007375A8">
        <w:rPr>
          <w:rStyle w:val="ae"/>
          <w:sz w:val="22"/>
        </w:rPr>
        <w:t xml:space="preserve"> mai mult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</w:p>
    <w:p w:rsidR="003B089F" w:rsidRPr="007375A8" w:rsidRDefault="003B089F" w:rsidP="007375A8">
      <w:pPr>
        <w:pStyle w:val="ac"/>
        <w:numPr>
          <w:ilvl w:val="0"/>
          <w:numId w:val="13"/>
        </w:numPr>
        <w:rPr>
          <w:rFonts w:ascii="Times New Roman" w:hAnsi="Times New Roman"/>
          <w:lang w:val="ro-RO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723797">
        <w:rPr>
          <w:rStyle w:val="ae"/>
          <w:b/>
          <w:sz w:val="22"/>
        </w:rPr>
        <w:t>4</w:t>
      </w:r>
      <w:r w:rsidRPr="007375A8">
        <w:rPr>
          <w:rStyle w:val="ae"/>
          <w:sz w:val="22"/>
        </w:rPr>
        <w:t xml:space="preserve"> cauze (</w:t>
      </w:r>
      <w:r w:rsidR="00416BF5">
        <w:rPr>
          <w:rStyle w:val="ae"/>
          <w:sz w:val="22"/>
        </w:rPr>
        <w:t>66,67</w:t>
      </w:r>
      <w:r w:rsidRPr="007375A8">
        <w:rPr>
          <w:rStyle w:val="ae"/>
          <w:sz w:val="22"/>
        </w:rPr>
        <w:t xml:space="preserve">%),  </w:t>
      </w:r>
      <w:r w:rsidR="00723797" w:rsidRPr="007375A8">
        <w:rPr>
          <w:rStyle w:val="ae"/>
          <w:sz w:val="22"/>
        </w:rPr>
        <w:t xml:space="preserve">cu </w:t>
      </w:r>
      <w:r w:rsidR="00723797">
        <w:rPr>
          <w:rStyle w:val="ae"/>
          <w:b/>
          <w:sz w:val="22"/>
        </w:rPr>
        <w:t>2</w:t>
      </w:r>
      <w:r w:rsidR="00723797">
        <w:rPr>
          <w:rStyle w:val="ae"/>
          <w:sz w:val="22"/>
        </w:rPr>
        <w:t xml:space="preserve"> cauze</w:t>
      </w:r>
      <w:r w:rsidR="00723797" w:rsidRPr="007375A8">
        <w:rPr>
          <w:rStyle w:val="ae"/>
          <w:sz w:val="22"/>
        </w:rPr>
        <w:t xml:space="preserve"> mai mult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</w:p>
    <w:p w:rsidR="007375A8" w:rsidRDefault="003B089F" w:rsidP="007375A8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>Judecătoria Comrat cu sediul în or. Ceadâr-Lunga</w:t>
      </w:r>
      <w:r w:rsidRPr="00196C20">
        <w:rPr>
          <w:lang w:val="ro-RO"/>
        </w:rPr>
        <w:t xml:space="preserve"> – examinate – </w:t>
      </w:r>
      <w:r w:rsidR="00416BF5">
        <w:rPr>
          <w:b/>
          <w:lang w:val="ro-RO"/>
        </w:rPr>
        <w:t>8</w:t>
      </w:r>
      <w:r w:rsidRPr="00196C20">
        <w:rPr>
          <w:lang w:val="ro-RO"/>
        </w:rPr>
        <w:t xml:space="preserve"> cauze (Nr. persoane - </w:t>
      </w:r>
      <w:r w:rsidR="00416BF5">
        <w:rPr>
          <w:b/>
          <w:lang w:val="ro-RO"/>
        </w:rPr>
        <w:t>9</w:t>
      </w:r>
      <w:r w:rsidRPr="00196C20">
        <w:rPr>
          <w:lang w:val="ro-RO"/>
        </w:rPr>
        <w:t xml:space="preserve">), </w:t>
      </w:r>
      <w:r w:rsidR="00A42481" w:rsidRPr="00196C20">
        <w:rPr>
          <w:rStyle w:val="ae"/>
          <w:sz w:val="22"/>
        </w:rPr>
        <w:t xml:space="preserve">cu </w:t>
      </w:r>
      <w:r w:rsidR="00E36559">
        <w:rPr>
          <w:rStyle w:val="ae"/>
          <w:b/>
          <w:sz w:val="22"/>
        </w:rPr>
        <w:t>1</w:t>
      </w:r>
      <w:r w:rsidR="00E36559">
        <w:rPr>
          <w:rStyle w:val="ae"/>
          <w:sz w:val="22"/>
        </w:rPr>
        <w:t xml:space="preserve"> cauză</w:t>
      </w:r>
      <w:r w:rsidR="00A42481" w:rsidRPr="00196C20">
        <w:rPr>
          <w:rStyle w:val="ae"/>
          <w:sz w:val="22"/>
        </w:rPr>
        <w:t xml:space="preserve"> mai </w:t>
      </w:r>
      <w:r w:rsidR="00416BF5">
        <w:rPr>
          <w:rStyle w:val="ae"/>
          <w:sz w:val="22"/>
        </w:rPr>
        <w:t>mult</w:t>
      </w:r>
      <w:r w:rsidR="00E36559" w:rsidRPr="00C07989">
        <w:rPr>
          <w:rStyle w:val="ae"/>
          <w:sz w:val="22"/>
        </w:rPr>
        <w:t xml:space="preserve"> </w:t>
      </w:r>
      <w:r w:rsidRPr="00196C20">
        <w:rPr>
          <w:lang w:val="ro-RO"/>
        </w:rPr>
        <w:t xml:space="preserve">ca și în aceeași perioada  a anului </w:t>
      </w:r>
      <w:r w:rsidR="0028196B">
        <w:rPr>
          <w:lang w:val="ro-RO"/>
        </w:rPr>
        <w:t>2018</w:t>
      </w:r>
      <w:r w:rsidRPr="00196C20">
        <w:rPr>
          <w:lang w:val="ro-RO"/>
        </w:rPr>
        <w:t xml:space="preserve">, din care : </w:t>
      </w:r>
    </w:p>
    <w:p w:rsidR="007375A8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416BF5">
        <w:rPr>
          <w:rStyle w:val="ae"/>
          <w:b/>
          <w:sz w:val="22"/>
        </w:rPr>
        <w:t>3</w:t>
      </w:r>
      <w:r w:rsidRPr="007375A8">
        <w:rPr>
          <w:rStyle w:val="ae"/>
          <w:sz w:val="22"/>
        </w:rPr>
        <w:t xml:space="preserve"> </w:t>
      </w:r>
      <w:r w:rsidR="00416BF5">
        <w:rPr>
          <w:rStyle w:val="ae"/>
          <w:sz w:val="22"/>
        </w:rPr>
        <w:t xml:space="preserve">cauze </w:t>
      </w:r>
      <w:r w:rsidRPr="007375A8">
        <w:rPr>
          <w:rStyle w:val="ae"/>
          <w:sz w:val="22"/>
        </w:rPr>
        <w:t>(</w:t>
      </w:r>
      <w:r w:rsidR="00416BF5">
        <w:rPr>
          <w:rStyle w:val="ae"/>
          <w:sz w:val="22"/>
        </w:rPr>
        <w:t>37,5</w:t>
      </w:r>
      <w:r w:rsidRPr="007375A8">
        <w:rPr>
          <w:rStyle w:val="ae"/>
          <w:sz w:val="22"/>
        </w:rPr>
        <w:t xml:space="preserve">%), </w:t>
      </w:r>
      <w:r w:rsidR="00416BF5" w:rsidRPr="00196C20">
        <w:rPr>
          <w:rStyle w:val="ae"/>
          <w:sz w:val="22"/>
        </w:rPr>
        <w:t xml:space="preserve">cu </w:t>
      </w:r>
      <w:r w:rsidR="00416BF5">
        <w:rPr>
          <w:rStyle w:val="ae"/>
          <w:b/>
          <w:sz w:val="22"/>
        </w:rPr>
        <w:t>1</w:t>
      </w:r>
      <w:r w:rsidR="00416BF5">
        <w:rPr>
          <w:rStyle w:val="ae"/>
          <w:sz w:val="22"/>
        </w:rPr>
        <w:t xml:space="preserve"> cauză</w:t>
      </w:r>
      <w:r w:rsidR="00416BF5" w:rsidRPr="00196C20">
        <w:rPr>
          <w:rStyle w:val="ae"/>
          <w:sz w:val="22"/>
        </w:rPr>
        <w:t xml:space="preserve"> mai </w:t>
      </w:r>
      <w:r w:rsidR="00416BF5">
        <w:rPr>
          <w:rStyle w:val="ae"/>
          <w:sz w:val="22"/>
        </w:rPr>
        <w:t>mult</w:t>
      </w:r>
      <w:r w:rsidR="00416BF5"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  <w:r w:rsidR="00416BF5">
        <w:rPr>
          <w:rStyle w:val="ae"/>
          <w:sz w:val="22"/>
        </w:rPr>
        <w:t xml:space="preserve"> </w:t>
      </w:r>
    </w:p>
    <w:p w:rsidR="00416BF5" w:rsidRDefault="003B089F" w:rsidP="00416BF5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416BF5">
        <w:rPr>
          <w:rStyle w:val="ae"/>
          <w:b/>
          <w:sz w:val="22"/>
        </w:rPr>
        <w:t>5</w:t>
      </w:r>
      <w:r w:rsidRPr="007375A8">
        <w:rPr>
          <w:rStyle w:val="ae"/>
          <w:sz w:val="22"/>
        </w:rPr>
        <w:t xml:space="preserve"> cauze (</w:t>
      </w:r>
      <w:r w:rsidR="00416BF5">
        <w:rPr>
          <w:rStyle w:val="ae"/>
          <w:sz w:val="22"/>
        </w:rPr>
        <w:t>62,5</w:t>
      </w:r>
      <w:r w:rsidRPr="007375A8">
        <w:rPr>
          <w:rStyle w:val="ae"/>
          <w:sz w:val="22"/>
        </w:rPr>
        <w:t xml:space="preserve">%), </w:t>
      </w:r>
      <w:r w:rsidR="00416BF5">
        <w:rPr>
          <w:rStyle w:val="ae"/>
          <w:sz w:val="22"/>
        </w:rPr>
        <w:t>la fel</w:t>
      </w:r>
      <w:r w:rsidR="00E36559"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  <w:r w:rsidR="00F7778A" w:rsidRPr="007375A8">
        <w:rPr>
          <w:rStyle w:val="ae"/>
          <w:sz w:val="22"/>
        </w:rPr>
        <w:t xml:space="preserve"> </w:t>
      </w:r>
    </w:p>
    <w:p w:rsidR="00416BF5" w:rsidRDefault="00416BF5" w:rsidP="00416BF5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 xml:space="preserve">Judecătoria Comrat cu sediul în or. </w:t>
      </w:r>
      <w:r>
        <w:rPr>
          <w:b/>
          <w:u w:val="single"/>
          <w:lang w:val="ro-RO"/>
        </w:rPr>
        <w:t>Vulcănești</w:t>
      </w:r>
      <w:r w:rsidRPr="00196C20">
        <w:rPr>
          <w:lang w:val="ro-RO"/>
        </w:rPr>
        <w:t xml:space="preserve"> – examinate – </w:t>
      </w:r>
      <w:r>
        <w:rPr>
          <w:b/>
          <w:lang w:val="ro-RO"/>
        </w:rPr>
        <w:t>2</w:t>
      </w:r>
      <w:r w:rsidRPr="00196C20">
        <w:rPr>
          <w:lang w:val="ro-RO"/>
        </w:rPr>
        <w:t xml:space="preserve"> cauze (Nr. persoane - </w:t>
      </w:r>
      <w:r>
        <w:rPr>
          <w:b/>
          <w:lang w:val="ro-RO"/>
        </w:rPr>
        <w:t>2</w:t>
      </w:r>
      <w:r w:rsidRPr="00196C20">
        <w:rPr>
          <w:lang w:val="ro-RO"/>
        </w:rPr>
        <w:t xml:space="preserve">), </w:t>
      </w:r>
      <w:r w:rsidRPr="00196C20">
        <w:rPr>
          <w:rStyle w:val="ae"/>
          <w:sz w:val="22"/>
        </w:rPr>
        <w:t xml:space="preserve">cu </w:t>
      </w:r>
      <w:r>
        <w:rPr>
          <w:rStyle w:val="ae"/>
          <w:b/>
          <w:sz w:val="22"/>
        </w:rPr>
        <w:t>2</w:t>
      </w:r>
      <w:r>
        <w:rPr>
          <w:rStyle w:val="ae"/>
          <w:sz w:val="22"/>
        </w:rPr>
        <w:t xml:space="preserve"> cauze</w:t>
      </w:r>
      <w:r w:rsidRPr="00196C20">
        <w:rPr>
          <w:rStyle w:val="ae"/>
          <w:sz w:val="22"/>
        </w:rPr>
        <w:t xml:space="preserve"> mai </w:t>
      </w:r>
      <w:r>
        <w:rPr>
          <w:rStyle w:val="ae"/>
          <w:sz w:val="22"/>
        </w:rPr>
        <w:t>mult</w:t>
      </w:r>
      <w:r w:rsidRPr="00C07989">
        <w:rPr>
          <w:rStyle w:val="ae"/>
          <w:sz w:val="22"/>
        </w:rPr>
        <w:t xml:space="preserve"> </w:t>
      </w:r>
      <w:r w:rsidRPr="00196C20">
        <w:rPr>
          <w:lang w:val="ro-RO"/>
        </w:rPr>
        <w:t xml:space="preserve">ca și în aceeași perioada  a anului </w:t>
      </w:r>
      <w:r>
        <w:rPr>
          <w:lang w:val="ro-RO"/>
        </w:rPr>
        <w:t>2018</w:t>
      </w:r>
      <w:r w:rsidRPr="00196C20">
        <w:rPr>
          <w:lang w:val="ro-RO"/>
        </w:rPr>
        <w:t xml:space="preserve">, din care : </w:t>
      </w:r>
    </w:p>
    <w:p w:rsidR="00416BF5" w:rsidRPr="007375A8" w:rsidRDefault="00416BF5" w:rsidP="00416BF5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>
        <w:rPr>
          <w:rStyle w:val="ae"/>
          <w:b/>
          <w:sz w:val="22"/>
        </w:rPr>
        <w:t>1</w:t>
      </w:r>
      <w:r w:rsidRPr="007375A8">
        <w:rPr>
          <w:rStyle w:val="ae"/>
          <w:sz w:val="22"/>
        </w:rPr>
        <w:t xml:space="preserve"> </w:t>
      </w:r>
      <w:r>
        <w:rPr>
          <w:rStyle w:val="ae"/>
          <w:sz w:val="22"/>
        </w:rPr>
        <w:t xml:space="preserve">cauză </w:t>
      </w:r>
      <w:r w:rsidRPr="007375A8">
        <w:rPr>
          <w:rStyle w:val="ae"/>
          <w:sz w:val="22"/>
        </w:rPr>
        <w:t>(</w:t>
      </w:r>
      <w:r>
        <w:rPr>
          <w:rStyle w:val="ae"/>
          <w:sz w:val="22"/>
        </w:rPr>
        <w:t>50</w:t>
      </w:r>
      <w:r w:rsidRPr="007375A8">
        <w:rPr>
          <w:rStyle w:val="ae"/>
          <w:sz w:val="22"/>
        </w:rPr>
        <w:t xml:space="preserve">%), </w:t>
      </w:r>
      <w:r w:rsidRPr="00196C20">
        <w:rPr>
          <w:rStyle w:val="ae"/>
          <w:sz w:val="22"/>
        </w:rPr>
        <w:t xml:space="preserve">cu </w:t>
      </w:r>
      <w:r>
        <w:rPr>
          <w:rStyle w:val="ae"/>
          <w:b/>
          <w:sz w:val="22"/>
        </w:rPr>
        <w:t>1</w:t>
      </w:r>
      <w:r>
        <w:rPr>
          <w:rStyle w:val="ae"/>
          <w:sz w:val="22"/>
        </w:rPr>
        <w:t xml:space="preserve"> cauză</w:t>
      </w:r>
      <w:r w:rsidRPr="00196C20">
        <w:rPr>
          <w:rStyle w:val="ae"/>
          <w:sz w:val="22"/>
        </w:rPr>
        <w:t xml:space="preserve"> mai </w:t>
      </w:r>
      <w:r>
        <w:rPr>
          <w:rStyle w:val="ae"/>
          <w:sz w:val="22"/>
        </w:rPr>
        <w:t>mult</w:t>
      </w:r>
      <w:r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  <w:r>
        <w:rPr>
          <w:rStyle w:val="ae"/>
          <w:sz w:val="22"/>
        </w:rPr>
        <w:t xml:space="preserve"> </w:t>
      </w:r>
    </w:p>
    <w:p w:rsidR="00416BF5" w:rsidRPr="009C3FB1" w:rsidRDefault="00416BF5" w:rsidP="009C3FB1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>
        <w:rPr>
          <w:rStyle w:val="ae"/>
          <w:b/>
          <w:sz w:val="22"/>
        </w:rPr>
        <w:t>1</w:t>
      </w:r>
      <w:r>
        <w:rPr>
          <w:rStyle w:val="ae"/>
          <w:sz w:val="22"/>
        </w:rPr>
        <w:t xml:space="preserve"> cauză</w:t>
      </w:r>
      <w:r w:rsidRPr="007375A8">
        <w:rPr>
          <w:rStyle w:val="ae"/>
          <w:sz w:val="22"/>
        </w:rPr>
        <w:t xml:space="preserve"> (</w:t>
      </w:r>
      <w:r>
        <w:rPr>
          <w:rStyle w:val="ae"/>
          <w:sz w:val="22"/>
        </w:rPr>
        <w:t>50</w:t>
      </w:r>
      <w:r w:rsidRPr="007375A8">
        <w:rPr>
          <w:rStyle w:val="ae"/>
          <w:sz w:val="22"/>
        </w:rPr>
        <w:t xml:space="preserve">%), </w:t>
      </w:r>
      <w:r w:rsidRPr="00196C20">
        <w:rPr>
          <w:rStyle w:val="ae"/>
          <w:sz w:val="22"/>
        </w:rPr>
        <w:t xml:space="preserve">cu </w:t>
      </w:r>
      <w:r>
        <w:rPr>
          <w:rStyle w:val="ae"/>
          <w:b/>
          <w:sz w:val="22"/>
        </w:rPr>
        <w:t>1</w:t>
      </w:r>
      <w:r>
        <w:rPr>
          <w:rStyle w:val="ae"/>
          <w:sz w:val="22"/>
        </w:rPr>
        <w:t xml:space="preserve"> cauză</w:t>
      </w:r>
      <w:r w:rsidRPr="00196C20">
        <w:rPr>
          <w:rStyle w:val="ae"/>
          <w:sz w:val="22"/>
        </w:rPr>
        <w:t xml:space="preserve"> mai </w:t>
      </w:r>
      <w:r>
        <w:rPr>
          <w:rStyle w:val="ae"/>
          <w:sz w:val="22"/>
        </w:rPr>
        <w:t>mult</w:t>
      </w:r>
      <w:r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>
        <w:rPr>
          <w:rStyle w:val="ae"/>
          <w:sz w:val="22"/>
        </w:rPr>
        <w:t>2018</w:t>
      </w:r>
      <w:r w:rsidRPr="007375A8">
        <w:rPr>
          <w:rStyle w:val="ae"/>
          <w:sz w:val="22"/>
        </w:rPr>
        <w:t xml:space="preserve">. </w:t>
      </w:r>
    </w:p>
    <w:p w:rsidR="00B34D6A" w:rsidRPr="001E60B8" w:rsidRDefault="00B34D6A" w:rsidP="001E60B8">
      <w:pPr>
        <w:pStyle w:val="ac"/>
        <w:ind w:hanging="720"/>
        <w:rPr>
          <w:rFonts w:ascii="Times New Roman" w:hAnsi="Times New Roman"/>
          <w:lang w:val="ro-RO"/>
        </w:rPr>
      </w:pPr>
      <w:r w:rsidRPr="001E60B8">
        <w:rPr>
          <w:rFonts w:ascii="Times New Roman" w:hAnsi="Times New Roman"/>
          <w:b/>
          <w:sz w:val="22"/>
          <w:u w:val="single"/>
          <w:lang w:val="ro-RO"/>
        </w:rPr>
        <w:t xml:space="preserve">Judecătoria </w:t>
      </w:r>
      <w:r w:rsidR="00A42481" w:rsidRPr="001E60B8">
        <w:rPr>
          <w:rFonts w:ascii="Times New Roman" w:hAnsi="Times New Roman"/>
          <w:b/>
          <w:sz w:val="22"/>
          <w:u w:val="single"/>
          <w:lang w:val="ro-RO"/>
        </w:rPr>
        <w:t>Cimișlia</w:t>
      </w:r>
      <w:r w:rsidR="001E60B8">
        <w:rPr>
          <w:rFonts w:ascii="Times New Roman" w:hAnsi="Times New Roman"/>
          <w:b/>
          <w:sz w:val="22"/>
          <w:u w:val="single"/>
          <w:lang w:val="ro-RO"/>
        </w:rPr>
        <w:t xml:space="preserve"> cu sediul Central</w:t>
      </w:r>
      <w:r w:rsidRPr="001E60B8">
        <w:rPr>
          <w:rFonts w:ascii="Times New Roman" w:hAnsi="Times New Roman"/>
          <w:sz w:val="22"/>
          <w:lang w:val="ro-RO"/>
        </w:rPr>
        <w:t xml:space="preserve"> – examinate – </w:t>
      </w:r>
      <w:r w:rsidR="00416BF5">
        <w:rPr>
          <w:rFonts w:ascii="Times New Roman" w:hAnsi="Times New Roman"/>
          <w:b/>
          <w:sz w:val="22"/>
          <w:lang w:val="ro-RO"/>
        </w:rPr>
        <w:t>2</w:t>
      </w:r>
      <w:r w:rsidR="00416BF5">
        <w:rPr>
          <w:rFonts w:ascii="Times New Roman" w:hAnsi="Times New Roman"/>
          <w:sz w:val="22"/>
          <w:lang w:val="ro-RO"/>
        </w:rPr>
        <w:t xml:space="preserve"> cauze</w:t>
      </w:r>
      <w:r w:rsidRPr="001E60B8">
        <w:rPr>
          <w:rFonts w:ascii="Times New Roman" w:hAnsi="Times New Roman"/>
          <w:sz w:val="22"/>
          <w:lang w:val="ro-RO"/>
        </w:rPr>
        <w:t xml:space="preserve"> (Nr. persoane - </w:t>
      </w:r>
      <w:r w:rsidR="00416BF5">
        <w:rPr>
          <w:rFonts w:ascii="Times New Roman" w:hAnsi="Times New Roman"/>
          <w:b/>
          <w:sz w:val="22"/>
          <w:lang w:val="ro-RO"/>
        </w:rPr>
        <w:t>2</w:t>
      </w:r>
      <w:r w:rsidRPr="001E60B8">
        <w:rPr>
          <w:rFonts w:ascii="Times New Roman" w:hAnsi="Times New Roman"/>
          <w:sz w:val="22"/>
          <w:lang w:val="ro-RO"/>
        </w:rPr>
        <w:t xml:space="preserve">), </w:t>
      </w:r>
      <w:r w:rsidR="00416BF5" w:rsidRPr="00196C20">
        <w:rPr>
          <w:rStyle w:val="ae"/>
          <w:sz w:val="22"/>
        </w:rPr>
        <w:t xml:space="preserve">cu </w:t>
      </w:r>
      <w:r w:rsidR="00416BF5">
        <w:rPr>
          <w:rStyle w:val="ae"/>
          <w:b/>
          <w:sz w:val="22"/>
        </w:rPr>
        <w:t>1</w:t>
      </w:r>
      <w:r w:rsidR="00416BF5">
        <w:rPr>
          <w:rStyle w:val="ae"/>
          <w:sz w:val="22"/>
        </w:rPr>
        <w:t xml:space="preserve"> cauză</w:t>
      </w:r>
      <w:r w:rsidR="00416BF5" w:rsidRPr="00196C20">
        <w:rPr>
          <w:rStyle w:val="ae"/>
          <w:sz w:val="22"/>
        </w:rPr>
        <w:t xml:space="preserve"> mai </w:t>
      </w:r>
      <w:r w:rsidR="00416BF5">
        <w:rPr>
          <w:rStyle w:val="ae"/>
          <w:sz w:val="22"/>
        </w:rPr>
        <w:t>puțin</w:t>
      </w:r>
      <w:r w:rsidR="00416BF5" w:rsidRPr="00C07989">
        <w:rPr>
          <w:rStyle w:val="ae"/>
          <w:sz w:val="22"/>
        </w:rPr>
        <w:t xml:space="preserve"> </w:t>
      </w:r>
      <w:r w:rsidR="002A7E8F" w:rsidRPr="001E60B8">
        <w:rPr>
          <w:rStyle w:val="ae"/>
          <w:sz w:val="22"/>
        </w:rPr>
        <w:t xml:space="preserve">ca în aceeași perioadă a anului 2018. </w:t>
      </w:r>
    </w:p>
    <w:p w:rsidR="00DD79B8" w:rsidRPr="00385E33" w:rsidRDefault="001E60B8" w:rsidP="002A7E8F">
      <w:pPr>
        <w:pStyle w:val="ac"/>
        <w:numPr>
          <w:ilvl w:val="0"/>
          <w:numId w:val="13"/>
        </w:numPr>
        <w:rPr>
          <w:rStyle w:val="ae"/>
          <w:iCs w:val="0"/>
        </w:rPr>
      </w:pPr>
      <w:r>
        <w:rPr>
          <w:rStyle w:val="ae"/>
          <w:sz w:val="22"/>
        </w:rPr>
        <w:t>menținute fără modificări</w:t>
      </w:r>
      <w:r w:rsidR="00B34D6A" w:rsidRPr="007375A8">
        <w:rPr>
          <w:rStyle w:val="ae"/>
          <w:sz w:val="22"/>
        </w:rPr>
        <w:t xml:space="preserve"> – </w:t>
      </w:r>
      <w:r w:rsidR="00416BF5">
        <w:rPr>
          <w:rStyle w:val="ae"/>
          <w:b/>
          <w:sz w:val="22"/>
        </w:rPr>
        <w:t>2</w:t>
      </w:r>
      <w:r>
        <w:rPr>
          <w:rStyle w:val="ae"/>
          <w:sz w:val="22"/>
        </w:rPr>
        <w:t xml:space="preserve"> cauz</w:t>
      </w:r>
      <w:r w:rsidR="00416BF5">
        <w:rPr>
          <w:rStyle w:val="ae"/>
          <w:sz w:val="22"/>
        </w:rPr>
        <w:t>e</w:t>
      </w:r>
      <w:r w:rsidR="00B34D6A" w:rsidRPr="007375A8">
        <w:rPr>
          <w:rStyle w:val="ae"/>
          <w:sz w:val="22"/>
        </w:rPr>
        <w:t xml:space="preserve"> (</w:t>
      </w:r>
      <w:r>
        <w:rPr>
          <w:rStyle w:val="ae"/>
          <w:sz w:val="22"/>
        </w:rPr>
        <w:t>10</w:t>
      </w:r>
      <w:r w:rsidR="00E36559">
        <w:rPr>
          <w:rStyle w:val="ae"/>
          <w:sz w:val="22"/>
        </w:rPr>
        <w:t>0</w:t>
      </w:r>
      <w:r w:rsidR="00E86FA2" w:rsidRPr="007375A8">
        <w:rPr>
          <w:rStyle w:val="ae"/>
          <w:sz w:val="22"/>
        </w:rPr>
        <w:t>%)</w:t>
      </w:r>
      <w:r w:rsidR="00DB52D6" w:rsidRPr="007375A8">
        <w:rPr>
          <w:rStyle w:val="ae"/>
          <w:sz w:val="22"/>
        </w:rPr>
        <w:t>,</w:t>
      </w:r>
      <w:r w:rsidR="002A7E8F">
        <w:rPr>
          <w:rStyle w:val="ae"/>
          <w:sz w:val="22"/>
        </w:rPr>
        <w:t xml:space="preserve"> </w:t>
      </w:r>
      <w:r w:rsidR="00416BF5" w:rsidRPr="00196C20">
        <w:rPr>
          <w:rStyle w:val="ae"/>
          <w:sz w:val="22"/>
        </w:rPr>
        <w:t xml:space="preserve">cu </w:t>
      </w:r>
      <w:r w:rsidR="00416BF5">
        <w:rPr>
          <w:rStyle w:val="ae"/>
          <w:b/>
          <w:sz w:val="22"/>
        </w:rPr>
        <w:t>1</w:t>
      </w:r>
      <w:r w:rsidR="00416BF5">
        <w:rPr>
          <w:rStyle w:val="ae"/>
          <w:sz w:val="22"/>
        </w:rPr>
        <w:t xml:space="preserve"> cauză</w:t>
      </w:r>
      <w:r w:rsidR="00416BF5" w:rsidRPr="00196C20">
        <w:rPr>
          <w:rStyle w:val="ae"/>
          <w:sz w:val="22"/>
        </w:rPr>
        <w:t xml:space="preserve"> mai </w:t>
      </w:r>
      <w:r w:rsidR="00416BF5">
        <w:rPr>
          <w:rStyle w:val="ae"/>
          <w:sz w:val="22"/>
        </w:rPr>
        <w:t>mult</w:t>
      </w:r>
      <w:r w:rsidR="00416BF5" w:rsidRPr="00C07989">
        <w:rPr>
          <w:rStyle w:val="ae"/>
          <w:sz w:val="22"/>
        </w:rPr>
        <w:t xml:space="preserve"> </w:t>
      </w:r>
      <w:r w:rsidR="002A7E8F" w:rsidRPr="007375A8">
        <w:rPr>
          <w:rStyle w:val="ae"/>
          <w:sz w:val="22"/>
        </w:rPr>
        <w:t xml:space="preserve">ca în aceeași perioadă a anului </w:t>
      </w:r>
      <w:r w:rsidR="002A7E8F">
        <w:rPr>
          <w:rStyle w:val="ae"/>
          <w:sz w:val="22"/>
        </w:rPr>
        <w:t>2018</w:t>
      </w:r>
      <w:r w:rsidR="002A7E8F" w:rsidRPr="007375A8">
        <w:rPr>
          <w:rStyle w:val="ae"/>
          <w:sz w:val="22"/>
        </w:rPr>
        <w:t xml:space="preserve">. </w:t>
      </w:r>
    </w:p>
    <w:p w:rsidR="00416BF5" w:rsidRDefault="00416BF5" w:rsidP="00416BF5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>
        <w:rPr>
          <w:rStyle w:val="ae"/>
          <w:b/>
          <w:sz w:val="22"/>
        </w:rPr>
        <w:t>0</w:t>
      </w:r>
      <w:r w:rsidRPr="007375A8">
        <w:rPr>
          <w:rStyle w:val="ae"/>
          <w:sz w:val="22"/>
        </w:rPr>
        <w:t xml:space="preserve"> cauze (</w:t>
      </w:r>
      <w:r>
        <w:rPr>
          <w:rStyle w:val="ae"/>
          <w:sz w:val="22"/>
        </w:rPr>
        <w:t>0</w:t>
      </w:r>
      <w:r w:rsidRPr="007375A8">
        <w:rPr>
          <w:rStyle w:val="ae"/>
          <w:sz w:val="22"/>
        </w:rPr>
        <w:t xml:space="preserve">%), </w:t>
      </w:r>
      <w:r>
        <w:rPr>
          <w:rStyle w:val="ae"/>
          <w:sz w:val="22"/>
        </w:rPr>
        <w:t xml:space="preserve">cu </w:t>
      </w:r>
      <w:r w:rsidRPr="00416BF5">
        <w:rPr>
          <w:rStyle w:val="ae"/>
          <w:b/>
          <w:sz w:val="22"/>
        </w:rPr>
        <w:t>2</w:t>
      </w:r>
      <w:r>
        <w:rPr>
          <w:rStyle w:val="ae"/>
          <w:sz w:val="22"/>
        </w:rPr>
        <w:t xml:space="preserve"> cauze mai puțin</w:t>
      </w:r>
      <w:r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>
        <w:rPr>
          <w:rStyle w:val="ae"/>
          <w:sz w:val="22"/>
        </w:rPr>
        <w:t>2018</w:t>
      </w:r>
      <w:r w:rsidRPr="007375A8">
        <w:rPr>
          <w:rStyle w:val="ae"/>
          <w:sz w:val="22"/>
        </w:rPr>
        <w:t xml:space="preserve">. </w:t>
      </w:r>
    </w:p>
    <w:p w:rsidR="00385E33" w:rsidRDefault="00385E33" w:rsidP="00385E33">
      <w:pPr>
        <w:rPr>
          <w:rStyle w:val="ae"/>
          <w:iCs w:val="0"/>
        </w:rPr>
      </w:pPr>
    </w:p>
    <w:tbl>
      <w:tblPr>
        <w:tblW w:w="10353" w:type="dxa"/>
        <w:tblInd w:w="108" w:type="dxa"/>
        <w:tblLook w:val="04A0" w:firstRow="1" w:lastRow="0" w:firstColumn="1" w:lastColumn="0" w:noHBand="0" w:noVBand="1"/>
      </w:tblPr>
      <w:tblGrid>
        <w:gridCol w:w="1371"/>
        <w:gridCol w:w="1134"/>
        <w:gridCol w:w="1078"/>
        <w:gridCol w:w="1056"/>
        <w:gridCol w:w="1067"/>
        <w:gridCol w:w="1045"/>
        <w:gridCol w:w="754"/>
        <w:gridCol w:w="1023"/>
        <w:gridCol w:w="1045"/>
        <w:gridCol w:w="1023"/>
      </w:tblGrid>
      <w:tr w:rsidR="00416BF5" w:rsidRPr="00F3074A" w:rsidTr="00416BF5">
        <w:trPr>
          <w:trHeight w:val="1496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Instanțe Judecătorești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Repartizate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Examinate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Rată de examinare  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Contestate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Rată, contestate din examinate %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Casate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Rată, casate din cele contestate 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Menținute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Rată, menținute din cele contestate %</w:t>
            </w:r>
          </w:p>
        </w:tc>
      </w:tr>
      <w:tr w:rsidR="00416BF5" w:rsidRPr="00416BF5" w:rsidTr="00416BF5">
        <w:trPr>
          <w:trHeight w:val="577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sediul Central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513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34,31%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40,91%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32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44,44%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55,56%</w:t>
            </w:r>
          </w:p>
        </w:tc>
      </w:tr>
      <w:tr w:rsidR="00416BF5" w:rsidRPr="00416BF5" w:rsidTr="00416BF5">
        <w:trPr>
          <w:trHeight w:val="859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Cantemir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204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44,61%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28,57%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65,38%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34,62%</w:t>
            </w:r>
          </w:p>
        </w:tc>
      </w:tr>
      <w:tr w:rsidR="00416BF5" w:rsidRPr="00416BF5" w:rsidTr="00416BF5">
        <w:trPr>
          <w:trHeight w:val="859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Taraclia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158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50,63%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41,25%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36,36%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416BF5">
              <w:rPr>
                <w:rFonts w:eastAsia="Times New Roman" w:cs="Times New Roman"/>
                <w:sz w:val="22"/>
                <w:lang w:val="ro-RO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416BF5">
              <w:rPr>
                <w:rFonts w:eastAsia="Times New Roman" w:cs="Times New Roman"/>
                <w:b/>
                <w:bCs/>
                <w:sz w:val="22"/>
                <w:lang w:val="ro-RO"/>
              </w:rPr>
              <w:t>63,64%</w:t>
            </w:r>
          </w:p>
        </w:tc>
      </w:tr>
      <w:tr w:rsidR="00416BF5" w:rsidRPr="00416BF5" w:rsidTr="00416BF5">
        <w:trPr>
          <w:trHeight w:val="85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16BF5" w:rsidRPr="00F3074A" w:rsidRDefault="00416BF5" w:rsidP="00416BF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TOTAL cauze în Instanțe Judecătorești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875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39,66%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37,75%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46,56%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16BF5" w:rsidRPr="00416BF5" w:rsidRDefault="00416BF5" w:rsidP="00416B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416BF5">
              <w:rPr>
                <w:rFonts w:eastAsia="Times New Roman" w:cs="Times New Roman"/>
                <w:b/>
                <w:bCs/>
                <w:color w:val="FFFFFF"/>
                <w:sz w:val="22"/>
              </w:rPr>
              <w:t>53,44%</w:t>
            </w:r>
          </w:p>
        </w:tc>
      </w:tr>
    </w:tbl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D15569" w:rsidRDefault="006A6CB5" w:rsidP="00A86067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35EF335" wp14:editId="09FFE4C8">
            <wp:extent cx="6124575" cy="30670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86067" w:rsidRDefault="00A8606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85E33" w:rsidRDefault="00385E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85E33" w:rsidRDefault="00385E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Pr="00B120AE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FC5880">
        <w:rPr>
          <w:lang w:val="ro-RO"/>
        </w:rPr>
        <w:t>6 luni</w:t>
      </w:r>
      <w:r w:rsidR="00953F74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967789">
        <w:rPr>
          <w:lang w:val="ro-RO"/>
        </w:rPr>
        <w:t xml:space="preserve"> la Curtea de Apel Cahul s-au aflat în procedură </w:t>
      </w:r>
      <w:r w:rsidR="00C85BF7">
        <w:rPr>
          <w:b/>
          <w:lang w:val="ro-RO"/>
        </w:rPr>
        <w:t>285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C85BF7">
        <w:rPr>
          <w:rFonts w:ascii="Times New Roman" w:hAnsi="Times New Roman"/>
          <w:b/>
          <w:sz w:val="24"/>
          <w:szCs w:val="24"/>
          <w:lang w:val="ro-RO"/>
        </w:rPr>
        <w:t>30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aplicarea măsurilor de constrâ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ngere /mandate la arest 14 r-16 r – </w:t>
      </w:r>
      <w:r w:rsidR="00C85BF7">
        <w:rPr>
          <w:rFonts w:ascii="Times New Roman" w:hAnsi="Times New Roman"/>
          <w:b/>
          <w:i/>
          <w:sz w:val="24"/>
          <w:szCs w:val="24"/>
          <w:lang w:val="ro-RO"/>
        </w:rPr>
        <w:t>78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punerea în executare a hotărâ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rilor judecătorești/prezentări cu indicele 21 r –</w:t>
      </w:r>
      <w:r w:rsidR="00C85BF7" w:rsidRPr="00C85BF7">
        <w:rPr>
          <w:rFonts w:ascii="Times New Roman" w:hAnsi="Times New Roman"/>
          <w:b/>
          <w:i/>
          <w:sz w:val="24"/>
          <w:szCs w:val="24"/>
          <w:lang w:val="ro-RO"/>
        </w:rPr>
        <w:t>68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060432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plâ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ngeri î/a acț. OUP cu indicele 10 r –</w:t>
      </w:r>
      <w:r w:rsidR="00C85BF7">
        <w:rPr>
          <w:rFonts w:ascii="Times New Roman" w:hAnsi="Times New Roman"/>
          <w:b/>
          <w:i/>
          <w:sz w:val="24"/>
          <w:szCs w:val="24"/>
          <w:lang w:val="ro-RO"/>
        </w:rPr>
        <w:t>48</w:t>
      </w:r>
    </w:p>
    <w:p w:rsidR="00060432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acț. de UP e</w:t>
      </w:r>
      <w:r w:rsidR="00060432">
        <w:rPr>
          <w:rFonts w:ascii="Times New Roman" w:hAnsi="Times New Roman"/>
          <w:i/>
          <w:sz w:val="24"/>
          <w:szCs w:val="24"/>
          <w:lang w:val="ro-RO"/>
        </w:rPr>
        <w:t>fectuate cu autorizarea judecătorului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de </w:t>
      </w:r>
      <w:r w:rsidR="0026749F" w:rsidRPr="00967789">
        <w:rPr>
          <w:rFonts w:ascii="Times New Roman" w:hAnsi="Times New Roman"/>
          <w:i/>
          <w:sz w:val="24"/>
          <w:szCs w:val="24"/>
          <w:lang w:val="ro-RO"/>
        </w:rPr>
        <w:t>instrucție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cu indicele 11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>r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– 13r</w:t>
      </w:r>
      <w:r w:rsidR="00060432">
        <w:rPr>
          <w:rFonts w:ascii="Times New Roman" w:hAnsi="Times New Roman"/>
          <w:i/>
          <w:sz w:val="24"/>
          <w:szCs w:val="24"/>
          <w:lang w:val="ro-RO"/>
        </w:rPr>
        <w:t xml:space="preserve">,  </w:t>
      </w:r>
    </w:p>
    <w:p w:rsidR="00341268" w:rsidRPr="00967789" w:rsidRDefault="00060432" w:rsidP="00060432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19 r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– </w:t>
      </w:r>
      <w:r w:rsidR="00C85BF7">
        <w:rPr>
          <w:rFonts w:ascii="Times New Roman" w:hAnsi="Times New Roman"/>
          <w:b/>
          <w:i/>
          <w:sz w:val="24"/>
          <w:szCs w:val="24"/>
          <w:lang w:val="ro-RO"/>
        </w:rPr>
        <w:t>61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</w:t>
      </w:r>
      <w:r w:rsidR="007F5D08">
        <w:rPr>
          <w:lang w:val="ro-RO"/>
        </w:rPr>
        <w:t>cauzelor</w:t>
      </w:r>
      <w:r w:rsidRPr="00967789">
        <w:rPr>
          <w:lang w:val="ro-RO"/>
        </w:rPr>
        <w:t xml:space="preserve"> aflate în procedură </w:t>
      </w:r>
      <w:r w:rsidR="00060432">
        <w:rPr>
          <w:b/>
          <w:lang w:val="ro-RO"/>
        </w:rPr>
        <w:t>24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C85BF7">
        <w:rPr>
          <w:b/>
          <w:lang w:val="ro-RO"/>
        </w:rPr>
        <w:t>261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 xml:space="preserve">Din totalul </w:t>
      </w:r>
      <w:r w:rsidR="007F5D08">
        <w:rPr>
          <w:lang w:val="ro-RO"/>
        </w:rPr>
        <w:t>cauzelor</w:t>
      </w:r>
      <w:r w:rsidR="006154EF" w:rsidRPr="00967789">
        <w:rPr>
          <w:lang w:val="ro-RO"/>
        </w:rPr>
        <w:t xml:space="preserve">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C85BF7">
        <w:rPr>
          <w:b/>
          <w:lang w:val="ro-RO"/>
        </w:rPr>
        <w:t>254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060432">
        <w:rPr>
          <w:b/>
          <w:i/>
          <w:lang w:val="ro-RO"/>
        </w:rPr>
        <w:t>0</w:t>
      </w:r>
      <w:r w:rsidR="00967789" w:rsidRPr="003C033E">
        <w:rPr>
          <w:b/>
          <w:i/>
          <w:lang w:val="ro-RO"/>
        </w:rPr>
        <w:t xml:space="preserve"> cauz</w:t>
      </w:r>
      <w:r w:rsidR="0026749F">
        <w:rPr>
          <w:b/>
          <w:i/>
          <w:lang w:val="ro-RO"/>
        </w:rPr>
        <w:t>e</w:t>
      </w:r>
      <w:r w:rsidR="00967789" w:rsidRPr="00967789">
        <w:rPr>
          <w:i/>
          <w:lang w:val="ro-RO"/>
        </w:rPr>
        <w:t xml:space="preserve">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</w:t>
      </w:r>
      <w:r w:rsidR="00060432">
        <w:rPr>
          <w:b/>
          <w:i/>
          <w:szCs w:val="24"/>
          <w:lang w:val="ro-RO"/>
        </w:rPr>
        <w:t>0</w:t>
      </w:r>
      <w:r w:rsidR="0026749F">
        <w:rPr>
          <w:b/>
          <w:i/>
          <w:szCs w:val="24"/>
          <w:lang w:val="ro-RO"/>
        </w:rPr>
        <w:t xml:space="preserve"> cauze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>N</w:t>
      </w:r>
      <w:r w:rsidR="003C033E">
        <w:rPr>
          <w:lang w:val="ro-RO"/>
        </w:rPr>
        <w:t xml:space="preserve">umărul </w:t>
      </w:r>
      <w:r w:rsidR="007F5D08">
        <w:rPr>
          <w:lang w:val="ro-RO"/>
        </w:rPr>
        <w:t>cauzelor</w:t>
      </w:r>
      <w:r w:rsidR="003C033E">
        <w:rPr>
          <w:lang w:val="ro-RO"/>
        </w:rPr>
        <w:t xml:space="preserve"> pendinte la sfâ</w:t>
      </w:r>
      <w:r w:rsidRPr="00967789">
        <w:rPr>
          <w:lang w:val="ro-RO"/>
        </w:rPr>
        <w:t xml:space="preserve">rșitul perioadei raportate constituie </w:t>
      </w:r>
      <w:r w:rsidR="00C85BF7">
        <w:rPr>
          <w:b/>
          <w:lang w:val="ro-RO"/>
        </w:rPr>
        <w:t>31</w:t>
      </w:r>
      <w:r w:rsidR="00CA106D">
        <w:rPr>
          <w:b/>
          <w:lang w:val="ro-RO"/>
        </w:rPr>
        <w:t xml:space="preserve"> 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>cauze</w:t>
      </w:r>
      <w:r w:rsidRPr="00554BA6">
        <w:rPr>
          <w:b/>
          <w:szCs w:val="24"/>
          <w:lang w:val="ro-RO"/>
        </w:rPr>
        <w:t xml:space="preserve">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C85BF7">
        <w:rPr>
          <w:b/>
          <w:lang w:val="ro-RO"/>
        </w:rPr>
        <w:t>97,32</w:t>
      </w:r>
      <w:r w:rsidRPr="00554BA6">
        <w:rPr>
          <w:b/>
          <w:lang w:val="ro-RO"/>
        </w:rPr>
        <w:t>%.</w:t>
      </w:r>
      <w:r w:rsidR="00E45929">
        <w:rPr>
          <w:lang w:val="ro-RO"/>
        </w:rPr>
        <w:t xml:space="preserve"> 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>materiale și</w:t>
      </w:r>
      <w:r w:rsidR="007F5D08">
        <w:rPr>
          <w:b/>
          <w:szCs w:val="24"/>
          <w:lang w:val="ro-RO"/>
        </w:rPr>
        <w:t xml:space="preserve"> cauze</w:t>
      </w:r>
      <w:r w:rsidRPr="00554BA6">
        <w:rPr>
          <w:b/>
          <w:szCs w:val="24"/>
          <w:lang w:val="ro-RO"/>
        </w:rPr>
        <w:t xml:space="preserve"> penale în ordine de recurs </w:t>
      </w:r>
      <w:r w:rsidRPr="00554BA6">
        <w:rPr>
          <w:lang w:val="ro-RO"/>
        </w:rPr>
        <w:t>(număr</w:t>
      </w:r>
      <w:r w:rsidR="000E750F">
        <w:rPr>
          <w:lang w:val="ro-RO"/>
        </w:rPr>
        <w:t>ul cauzelor nesoluționate la sfâ</w:t>
      </w:r>
      <w:r w:rsidRPr="00554BA6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C85BF7">
        <w:rPr>
          <w:b/>
          <w:lang w:val="ro-RO"/>
        </w:rPr>
        <w:t>22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</w:t>
      </w:r>
    </w:p>
    <w:p w:rsidR="00C85BF7" w:rsidRDefault="00712977" w:rsidP="00C85BF7">
      <w:pPr>
        <w:ind w:right="-1"/>
        <w:rPr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C85BF7">
        <w:rPr>
          <w:b/>
          <w:lang w:val="ro-RO"/>
        </w:rPr>
        <w:t>28</w:t>
      </w:r>
      <w:r w:rsidR="008E7B34" w:rsidRPr="00607193">
        <w:rPr>
          <w:b/>
          <w:lang w:val="ro-RO"/>
        </w:rPr>
        <w:t xml:space="preserve"> </w:t>
      </w:r>
      <w:r w:rsidR="00131704" w:rsidRPr="00607193">
        <w:rPr>
          <w:b/>
          <w:lang w:val="ro-RO"/>
        </w:rPr>
        <w:t>cauze</w:t>
      </w:r>
      <w:r w:rsidR="00DC21CC" w:rsidRPr="00607193">
        <w:rPr>
          <w:b/>
          <w:lang w:val="ro-RO"/>
        </w:rPr>
        <w:t>.</w:t>
      </w:r>
      <w:r w:rsidR="00DC21CC">
        <w:rPr>
          <w:b/>
          <w:lang w:val="ro-RO"/>
        </w:rPr>
        <w:t xml:space="preserve"> </w:t>
      </w:r>
    </w:p>
    <w:p w:rsidR="00CC3CBF" w:rsidRPr="00C33C4E" w:rsidRDefault="00CC3CBF" w:rsidP="00C85BF7">
      <w:pPr>
        <w:ind w:right="-1"/>
        <w:rPr>
          <w:color w:val="FF0000"/>
          <w:lang w:val="ro-RO"/>
        </w:rPr>
      </w:pPr>
    </w:p>
    <w:p w:rsidR="00060432" w:rsidRPr="00A47985" w:rsidRDefault="00060432" w:rsidP="00A47985">
      <w:pPr>
        <w:rPr>
          <w:b/>
          <w:lang w:val="ro-RO"/>
        </w:rPr>
      </w:pPr>
    </w:p>
    <w:p w:rsidR="00044362" w:rsidRDefault="006154EF" w:rsidP="00E45929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 xml:space="preserve">materialele și </w:t>
      </w:r>
      <w:r w:rsidR="007F5D08" w:rsidRPr="002A1595">
        <w:rPr>
          <w:rFonts w:ascii="Times New Roman" w:hAnsi="Times New Roman"/>
          <w:i/>
          <w:sz w:val="24"/>
          <w:szCs w:val="24"/>
          <w:lang w:val="ro-RO"/>
        </w:rPr>
        <w:t>cauze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>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comparative în diagrame</w:t>
      </w:r>
    </w:p>
    <w:p w:rsidR="00035FDD" w:rsidRPr="00E45929" w:rsidRDefault="00035FDD" w:rsidP="00E45929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044362" w:rsidRPr="00B120AE" w:rsidRDefault="00C85BF7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DBD47BF" wp14:editId="4960F2C1">
            <wp:extent cx="5943600" cy="29527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9B27DD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429CD4B" wp14:editId="2765F032">
            <wp:extent cx="6458733" cy="3327225"/>
            <wp:effectExtent l="0" t="0" r="18415" b="698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B00E0" w:rsidRDefault="009B27DD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C2AF281" wp14:editId="3C568B57">
            <wp:extent cx="5545377" cy="3209794"/>
            <wp:effectExtent l="0" t="0" r="17780" b="1016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F5A59" w:rsidRPr="00C25F31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5F31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C25F31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9B27DD" w:rsidRDefault="00245AF8" w:rsidP="001E60B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C25F31"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C25F31">
        <w:rPr>
          <w:rFonts w:ascii="Times New Roman" w:hAnsi="Times New Roman"/>
          <w:b/>
          <w:sz w:val="24"/>
          <w:szCs w:val="24"/>
          <w:lang w:val="ro-RO"/>
        </w:rPr>
        <w:t>; 10r; 11r; 12r;19r)</w:t>
      </w:r>
      <w:r w:rsidR="006F5A59" w:rsidRPr="00C25F3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C25F31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C25F31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C25F3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C25F31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1E60B8" w:rsidRPr="00C25F31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  <w:r w:rsidR="006F5A59" w:rsidRPr="009B27DD">
        <w:rPr>
          <w:rFonts w:ascii="Times New Roman" w:hAnsi="Times New Roman"/>
          <w:color w:val="FF0000"/>
          <w:sz w:val="24"/>
          <w:szCs w:val="24"/>
          <w:lang w:val="ro-RO"/>
        </w:rPr>
        <w:tab/>
      </w:r>
    </w:p>
    <w:p w:rsidR="00E6354A" w:rsidRPr="007E2C01" w:rsidRDefault="00895B4F" w:rsidP="00F43BBE">
      <w:pPr>
        <w:ind w:right="-1"/>
        <w:rPr>
          <w:lang w:val="ro-RO"/>
        </w:rPr>
      </w:pPr>
      <w:r w:rsidRPr="007E2C01">
        <w:rPr>
          <w:lang w:val="ro-RO"/>
        </w:rPr>
        <w:t xml:space="preserve">Datele statistice pe </w:t>
      </w:r>
      <w:r w:rsidR="000869C9" w:rsidRPr="007E2C01">
        <w:rPr>
          <w:rFonts w:cs="Times New Roman"/>
          <w:i/>
          <w:szCs w:val="24"/>
          <w:lang w:val="ro-RO"/>
        </w:rPr>
        <w:t xml:space="preserve">materiale și </w:t>
      </w:r>
      <w:r w:rsidR="007F5D08" w:rsidRPr="007E2C01">
        <w:rPr>
          <w:rFonts w:cs="Times New Roman"/>
          <w:i/>
          <w:szCs w:val="24"/>
          <w:lang w:val="ro-RO"/>
        </w:rPr>
        <w:t>cauze</w:t>
      </w:r>
      <w:r w:rsidR="000869C9" w:rsidRPr="007E2C01">
        <w:rPr>
          <w:rFonts w:cs="Times New Roman"/>
          <w:i/>
          <w:szCs w:val="24"/>
          <w:lang w:val="ro-RO"/>
        </w:rPr>
        <w:t xml:space="preserve"> penale în ordine de recurs</w:t>
      </w:r>
      <w:r w:rsidR="000869C9" w:rsidRPr="007E2C01">
        <w:rPr>
          <w:rFonts w:cs="Times New Roman"/>
          <w:b/>
          <w:szCs w:val="24"/>
          <w:lang w:val="ro-RO"/>
        </w:rPr>
        <w:t xml:space="preserve"> </w:t>
      </w:r>
      <w:r w:rsidRPr="007E2C01">
        <w:rPr>
          <w:lang w:val="ro-RO"/>
        </w:rPr>
        <w:t xml:space="preserve">parvenite spre examinare </w:t>
      </w:r>
      <w:r w:rsidR="000869C9" w:rsidRPr="007E2C01">
        <w:rPr>
          <w:lang w:val="ro-RO"/>
        </w:rPr>
        <w:t xml:space="preserve">din judecătoriile din raza de activitate a </w:t>
      </w:r>
      <w:r w:rsidR="00850420" w:rsidRPr="007E2C01">
        <w:rPr>
          <w:lang w:val="ro-RO"/>
        </w:rPr>
        <w:t>Curții</w:t>
      </w:r>
      <w:r w:rsidRPr="007E2C01">
        <w:rPr>
          <w:lang w:val="ro-RO"/>
        </w:rPr>
        <w:t xml:space="preserve"> de Apel Cahul </w:t>
      </w:r>
      <w:r w:rsidR="000869C9" w:rsidRPr="007E2C01">
        <w:rPr>
          <w:lang w:val="ro-RO"/>
        </w:rPr>
        <w:t>pen</w:t>
      </w:r>
      <w:r w:rsidR="00F20ED2" w:rsidRPr="007E2C01">
        <w:rPr>
          <w:lang w:val="ro-RO"/>
        </w:rPr>
        <w:t>t</w:t>
      </w:r>
      <w:r w:rsidR="000869C9" w:rsidRPr="007E2C01">
        <w:rPr>
          <w:lang w:val="ro-RO"/>
        </w:rPr>
        <w:t xml:space="preserve">ru perioada </w:t>
      </w:r>
      <w:r w:rsidR="00FC5880">
        <w:rPr>
          <w:lang w:val="ro-RO"/>
        </w:rPr>
        <w:t>6 luni</w:t>
      </w:r>
      <w:r w:rsidR="0014699F" w:rsidRPr="007E2C01">
        <w:rPr>
          <w:lang w:val="ro-RO"/>
        </w:rPr>
        <w:t xml:space="preserve"> a anului </w:t>
      </w:r>
      <w:r w:rsidR="0028196B">
        <w:rPr>
          <w:lang w:val="ro-RO"/>
        </w:rPr>
        <w:t>2018</w:t>
      </w:r>
      <w:r w:rsidR="000869C9" w:rsidRPr="007E2C01">
        <w:rPr>
          <w:lang w:val="ro-RO"/>
        </w:rPr>
        <w:t xml:space="preserve"> sunt următoarele:</w:t>
      </w:r>
    </w:p>
    <w:p w:rsidR="008E7B34" w:rsidRPr="00F16ECE" w:rsidRDefault="008E7B34" w:rsidP="00C07989">
      <w:pPr>
        <w:ind w:firstLine="0"/>
        <w:rPr>
          <w:lang w:val="ro-RO"/>
        </w:rPr>
      </w:pPr>
      <w:r w:rsidRPr="00F16ECE">
        <w:rPr>
          <w:b/>
          <w:u w:val="single"/>
          <w:lang w:val="ro-RO"/>
        </w:rPr>
        <w:t>Judecătoria Cahul</w:t>
      </w:r>
      <w:r w:rsidR="008C48EC" w:rsidRPr="008C48EC">
        <w:rPr>
          <w:b/>
          <w:u w:val="single"/>
          <w:lang w:val="ro-RO"/>
        </w:rPr>
        <w:t xml:space="preserve"> </w:t>
      </w:r>
      <w:r w:rsidR="008C48EC" w:rsidRPr="00261561">
        <w:rPr>
          <w:b/>
          <w:u w:val="single"/>
          <w:lang w:val="ro-RO"/>
        </w:rPr>
        <w:t xml:space="preserve">cu sediul </w:t>
      </w:r>
      <w:r w:rsidR="008C48EC">
        <w:rPr>
          <w:b/>
          <w:u w:val="single"/>
          <w:lang w:val="ro-RO"/>
        </w:rPr>
        <w:t>Central</w:t>
      </w:r>
      <w:r w:rsidRPr="00F16ECE">
        <w:rPr>
          <w:lang w:val="ro-RO"/>
        </w:rPr>
        <w:t xml:space="preserve"> – examinate – </w:t>
      </w:r>
      <w:r w:rsidR="006A6CB5">
        <w:rPr>
          <w:b/>
          <w:lang w:val="ro-RO"/>
        </w:rPr>
        <w:t>206</w:t>
      </w:r>
      <w:r w:rsidRPr="00F16ECE">
        <w:rPr>
          <w:lang w:val="ro-RO"/>
        </w:rPr>
        <w:t xml:space="preserve"> cauze, cu </w:t>
      </w:r>
      <w:r w:rsidR="006A6CB5">
        <w:rPr>
          <w:b/>
          <w:lang w:val="ro-RO"/>
        </w:rPr>
        <w:t>5</w:t>
      </w:r>
      <w:r w:rsidRPr="00F16ECE">
        <w:rPr>
          <w:lang w:val="ro-RO"/>
        </w:rPr>
        <w:t xml:space="preserve"> cauze mai mult ca și în aceeași perioada  a anului </w:t>
      </w:r>
      <w:r w:rsidR="0028196B">
        <w:rPr>
          <w:lang w:val="ro-RO"/>
        </w:rPr>
        <w:t>2018</w:t>
      </w:r>
      <w:r w:rsidRPr="00F16ECE">
        <w:rPr>
          <w:lang w:val="ro-RO"/>
        </w:rPr>
        <w:t xml:space="preserve">, din care : </w:t>
      </w:r>
    </w:p>
    <w:p w:rsidR="00C07989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6A6CB5">
        <w:rPr>
          <w:rFonts w:ascii="Times New Roman" w:hAnsi="Times New Roman"/>
          <w:b/>
          <w:sz w:val="22"/>
          <w:lang w:val="ro-RO"/>
        </w:rPr>
        <w:t>133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6A6CB5">
        <w:rPr>
          <w:rFonts w:ascii="Times New Roman" w:hAnsi="Times New Roman"/>
          <w:sz w:val="22"/>
          <w:lang w:val="ro-RO"/>
        </w:rPr>
        <w:t>64,56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8C48EC">
        <w:rPr>
          <w:rFonts w:ascii="Times New Roman" w:hAnsi="Times New Roman"/>
          <w:b/>
          <w:sz w:val="22"/>
          <w:lang w:val="ro-RO"/>
        </w:rPr>
        <w:t>1</w:t>
      </w:r>
      <w:r w:rsidR="008C48EC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mai </w:t>
      </w:r>
      <w:r w:rsidR="00386375">
        <w:rPr>
          <w:rStyle w:val="ae"/>
          <w:sz w:val="22"/>
        </w:rPr>
        <w:t>mult</w:t>
      </w:r>
      <w:r w:rsidR="008C48EC" w:rsidRPr="00C07989">
        <w:rPr>
          <w:rStyle w:val="ae"/>
          <w:sz w:val="22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="006A6CB5">
        <w:rPr>
          <w:rFonts w:ascii="Times New Roman" w:hAnsi="Times New Roman"/>
          <w:b/>
          <w:sz w:val="22"/>
          <w:lang w:val="ro-RO"/>
        </w:rPr>
        <w:t>73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6A6CB5">
        <w:rPr>
          <w:rFonts w:ascii="Times New Roman" w:hAnsi="Times New Roman"/>
          <w:sz w:val="22"/>
          <w:lang w:val="ro-RO"/>
        </w:rPr>
        <w:t>35,44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6A6CB5">
        <w:rPr>
          <w:rFonts w:ascii="Times New Roman" w:hAnsi="Times New Roman"/>
          <w:b/>
          <w:sz w:val="22"/>
          <w:lang w:val="ro-RO"/>
        </w:rPr>
        <w:t>4</w:t>
      </w:r>
      <w:r w:rsidRPr="00C07989">
        <w:rPr>
          <w:rFonts w:ascii="Times New Roman" w:hAnsi="Times New Roman"/>
          <w:sz w:val="22"/>
          <w:lang w:val="ro-RO"/>
        </w:rPr>
        <w:t xml:space="preserve"> cauze mai mult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07989" w:rsidRDefault="008E7B34" w:rsidP="00C07989">
      <w:pPr>
        <w:ind w:firstLine="0"/>
        <w:rPr>
          <w:lang w:val="ro-RO"/>
        </w:rPr>
      </w:pPr>
      <w:r w:rsidRPr="00E36519">
        <w:rPr>
          <w:b/>
          <w:u w:val="single"/>
          <w:lang w:val="ro-RO"/>
        </w:rPr>
        <w:t>Judecătoria Cahul cu sediul or. Cantemir</w:t>
      </w:r>
      <w:r w:rsidRPr="00E36519">
        <w:rPr>
          <w:lang w:val="ro-RO"/>
        </w:rPr>
        <w:t xml:space="preserve"> – examinate – </w:t>
      </w:r>
      <w:r w:rsidR="006A6CB5">
        <w:rPr>
          <w:b/>
          <w:lang w:val="ro-RO"/>
        </w:rPr>
        <w:t>15</w:t>
      </w:r>
      <w:r w:rsidRPr="00E36519">
        <w:rPr>
          <w:b/>
          <w:lang w:val="ro-RO"/>
        </w:rPr>
        <w:t xml:space="preserve"> </w:t>
      </w:r>
      <w:r w:rsidRPr="00E36519">
        <w:rPr>
          <w:lang w:val="ro-RO"/>
        </w:rPr>
        <w:t xml:space="preserve">cauze, cu </w:t>
      </w:r>
      <w:r w:rsidR="006A6CB5">
        <w:rPr>
          <w:b/>
          <w:lang w:val="ro-RO"/>
        </w:rPr>
        <w:t>8</w:t>
      </w:r>
      <w:r w:rsidRPr="00E36519">
        <w:rPr>
          <w:lang w:val="ro-RO"/>
        </w:rPr>
        <w:t xml:space="preserve"> cau</w:t>
      </w:r>
      <w:r>
        <w:rPr>
          <w:lang w:val="ro-RO"/>
        </w:rPr>
        <w:t>ze</w:t>
      </w:r>
      <w:r w:rsidRPr="00E36519">
        <w:rPr>
          <w:lang w:val="ro-RO"/>
        </w:rPr>
        <w:t xml:space="preserve"> mai </w:t>
      </w:r>
      <w:r w:rsidR="008C48EC">
        <w:rPr>
          <w:lang w:val="ro-RO"/>
        </w:rPr>
        <w:t>mult</w:t>
      </w:r>
      <w:r w:rsidRPr="00E36519">
        <w:rPr>
          <w:lang w:val="ro-RO"/>
        </w:rPr>
        <w:t xml:space="preserve"> ca în aceeași perioada  a anului </w:t>
      </w:r>
      <w:r w:rsidR="0028196B">
        <w:rPr>
          <w:lang w:val="ro-RO"/>
        </w:rPr>
        <w:t>2018</w:t>
      </w:r>
      <w:r w:rsidRPr="00E36519">
        <w:rPr>
          <w:lang w:val="ro-RO"/>
        </w:rPr>
        <w:t xml:space="preserve">, din care : </w:t>
      </w:r>
    </w:p>
    <w:p w:rsid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6A6CB5">
        <w:rPr>
          <w:rFonts w:ascii="Times New Roman" w:hAnsi="Times New Roman"/>
          <w:b/>
          <w:sz w:val="22"/>
          <w:lang w:val="ro-RO"/>
        </w:rPr>
        <w:t>12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6A6CB5">
        <w:rPr>
          <w:rFonts w:ascii="Times New Roman" w:hAnsi="Times New Roman"/>
          <w:sz w:val="22"/>
          <w:lang w:val="ro-RO"/>
        </w:rPr>
        <w:t>80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6A6CB5">
        <w:rPr>
          <w:rFonts w:ascii="Times New Roman" w:hAnsi="Times New Roman"/>
          <w:b/>
          <w:sz w:val="22"/>
          <w:lang w:val="ro-RO"/>
        </w:rPr>
        <w:t>10</w:t>
      </w:r>
      <w:r w:rsidRPr="00C07989">
        <w:rPr>
          <w:rFonts w:ascii="Times New Roman" w:hAnsi="Times New Roman"/>
          <w:sz w:val="22"/>
          <w:lang w:val="ro-RO"/>
        </w:rPr>
        <w:t xml:space="preserve"> cauze mai </w:t>
      </w:r>
      <w:r w:rsidR="008C48EC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6A6CB5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6A6CB5">
        <w:rPr>
          <w:rFonts w:ascii="Times New Roman" w:hAnsi="Times New Roman"/>
          <w:sz w:val="22"/>
          <w:lang w:val="ro-RO"/>
        </w:rPr>
        <w:t>20</w:t>
      </w:r>
      <w:r w:rsidRPr="00C07989">
        <w:rPr>
          <w:rFonts w:ascii="Times New Roman" w:hAnsi="Times New Roman"/>
          <w:sz w:val="22"/>
          <w:lang w:val="ro-RO"/>
        </w:rPr>
        <w:t xml:space="preserve"> %) , cu </w:t>
      </w:r>
      <w:r w:rsidR="008C48EC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8E7B34" w:rsidRPr="00C93758" w:rsidRDefault="008E7B34" w:rsidP="00C07989">
      <w:pPr>
        <w:ind w:firstLine="0"/>
        <w:rPr>
          <w:lang w:val="ro-RO"/>
        </w:rPr>
      </w:pPr>
      <w:r w:rsidRPr="00C93758">
        <w:rPr>
          <w:b/>
          <w:u w:val="single"/>
          <w:lang w:val="ro-RO"/>
        </w:rPr>
        <w:t xml:space="preserve">Judecătoria Cahul cu sediul or. Taraclia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 w:rsidR="00C25F31">
        <w:rPr>
          <w:b/>
          <w:lang w:val="ro-RO"/>
        </w:rPr>
        <w:t>25</w:t>
      </w:r>
      <w:r w:rsidRPr="00C93758">
        <w:rPr>
          <w:b/>
          <w:lang w:val="ro-RO"/>
        </w:rPr>
        <w:t xml:space="preserve"> </w:t>
      </w:r>
      <w:r w:rsidRPr="00C93758">
        <w:rPr>
          <w:lang w:val="ro-RO"/>
        </w:rPr>
        <w:t xml:space="preserve">cauze, cu </w:t>
      </w:r>
      <w:r w:rsidR="00C25F31">
        <w:rPr>
          <w:b/>
          <w:lang w:val="ro-RO"/>
        </w:rPr>
        <w:t>5</w:t>
      </w:r>
      <w:r w:rsidRPr="00C93758">
        <w:rPr>
          <w:lang w:val="ro-RO"/>
        </w:rPr>
        <w:t xml:space="preserve"> cauze mai </w:t>
      </w:r>
      <w:r>
        <w:rPr>
          <w:lang w:val="ro-RO"/>
        </w:rPr>
        <w:t>puțin</w:t>
      </w:r>
      <w:r w:rsidRPr="00C93758">
        <w:rPr>
          <w:lang w:val="ro-RO"/>
        </w:rPr>
        <w:t xml:space="preserve"> ca în aceeași perioadă a anului </w:t>
      </w:r>
      <w:r w:rsidR="0028196B">
        <w:rPr>
          <w:lang w:val="ro-RO"/>
        </w:rPr>
        <w:t>2018</w:t>
      </w:r>
      <w:r w:rsidRPr="00C93758">
        <w:rPr>
          <w:lang w:val="ro-RO"/>
        </w:rPr>
        <w:t>, din care:</w:t>
      </w:r>
    </w:p>
    <w:p w:rsid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C25F31">
        <w:rPr>
          <w:rFonts w:ascii="Times New Roman" w:hAnsi="Times New Roman"/>
          <w:b/>
          <w:sz w:val="22"/>
          <w:lang w:val="ro-RO"/>
        </w:rPr>
        <w:t>21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 w:rsidR="00C25F31">
        <w:rPr>
          <w:rFonts w:ascii="Times New Roman" w:hAnsi="Times New Roman"/>
          <w:sz w:val="22"/>
          <w:lang w:val="ro-RO"/>
        </w:rPr>
        <w:t>84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C25F31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="00C25F31">
        <w:rPr>
          <w:rFonts w:ascii="Times New Roman" w:hAnsi="Times New Roman"/>
          <w:b/>
          <w:sz w:val="22"/>
          <w:lang w:val="ro-RO"/>
        </w:rPr>
        <w:t>4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C25F31">
        <w:rPr>
          <w:rFonts w:ascii="Times New Roman" w:hAnsi="Times New Roman"/>
          <w:sz w:val="22"/>
          <w:lang w:val="ro-RO"/>
        </w:rPr>
        <w:t>16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C25F31">
        <w:rPr>
          <w:rFonts w:ascii="Times New Roman" w:hAnsi="Times New Roman"/>
          <w:b/>
          <w:sz w:val="22"/>
          <w:lang w:val="ro-RO"/>
        </w:rPr>
        <w:t>3</w:t>
      </w:r>
      <w:r w:rsidR="00C25F31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C2694" w:rsidRPr="00261561" w:rsidRDefault="00431A9C" w:rsidP="00C07989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</w:t>
      </w:r>
      <w:r w:rsidR="008C48EC">
        <w:rPr>
          <w:b/>
          <w:u w:val="single"/>
          <w:lang w:val="ro-RO"/>
        </w:rPr>
        <w:t>Comrat</w:t>
      </w:r>
      <w:r w:rsidRPr="00261561">
        <w:rPr>
          <w:b/>
          <w:u w:val="single"/>
          <w:lang w:val="ro-RO"/>
        </w:rPr>
        <w:t xml:space="preserve"> </w:t>
      </w:r>
      <w:r w:rsidR="009A57F6" w:rsidRPr="00261561">
        <w:rPr>
          <w:b/>
          <w:u w:val="single"/>
          <w:lang w:val="ro-RO"/>
        </w:rPr>
        <w:t xml:space="preserve">cu sediul </w:t>
      </w:r>
      <w:r w:rsidR="008C48EC">
        <w:rPr>
          <w:b/>
          <w:u w:val="single"/>
          <w:lang w:val="ro-RO"/>
        </w:rPr>
        <w:t>Central</w:t>
      </w:r>
      <w:r w:rsidR="009A57F6" w:rsidRPr="00261561">
        <w:rPr>
          <w:b/>
          <w:u w:val="single"/>
          <w:lang w:val="ro-RO"/>
        </w:rPr>
        <w:t xml:space="preserve"> </w:t>
      </w:r>
      <w:r w:rsidRPr="00261561">
        <w:rPr>
          <w:lang w:val="ro-RO"/>
        </w:rPr>
        <w:t xml:space="preserve">– examinate – </w:t>
      </w:r>
      <w:r w:rsidR="00C25F31">
        <w:rPr>
          <w:b/>
          <w:lang w:val="ro-RO"/>
        </w:rPr>
        <w:t>2</w:t>
      </w:r>
      <w:r w:rsidR="00C25F31">
        <w:rPr>
          <w:lang w:val="ro-RO"/>
        </w:rPr>
        <w:t xml:space="preserve"> cauze</w:t>
      </w:r>
      <w:r w:rsidRPr="00261561">
        <w:rPr>
          <w:lang w:val="ro-RO"/>
        </w:rPr>
        <w:t xml:space="preserve">, </w:t>
      </w:r>
    </w:p>
    <w:p w:rsidR="00C07989" w:rsidRPr="00C07989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  <w:r w:rsidR="00C25F31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F86832" w:rsidRPr="00C07989">
        <w:rPr>
          <w:rFonts w:ascii="Times New Roman" w:hAnsi="Times New Roman"/>
          <w:sz w:val="22"/>
          <w:lang w:val="ro-RO"/>
        </w:rPr>
        <w:t>cauză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 w:rsidR="00C25F31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CC2694" w:rsidRPr="00C07989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C25F31">
        <w:rPr>
          <w:rFonts w:ascii="Times New Roman" w:hAnsi="Times New Roman"/>
          <w:b/>
          <w:sz w:val="22"/>
          <w:lang w:val="ro-RO"/>
        </w:rPr>
        <w:t>1</w:t>
      </w:r>
      <w:r w:rsidR="00C25F31">
        <w:rPr>
          <w:rFonts w:ascii="Times New Roman" w:hAnsi="Times New Roman"/>
          <w:sz w:val="22"/>
          <w:lang w:val="ro-RO"/>
        </w:rPr>
        <w:t xml:space="preserve"> cauză</w:t>
      </w:r>
      <w:r w:rsidR="00C93758" w:rsidRPr="00C07989">
        <w:rPr>
          <w:rFonts w:ascii="Times New Roman" w:hAnsi="Times New Roman"/>
          <w:sz w:val="22"/>
          <w:lang w:val="ro-RO"/>
        </w:rPr>
        <w:t xml:space="preserve"> ( </w:t>
      </w:r>
      <w:r w:rsidR="00C25F31">
        <w:rPr>
          <w:rFonts w:ascii="Times New Roman" w:hAnsi="Times New Roman"/>
          <w:sz w:val="22"/>
          <w:lang w:val="ro-RO"/>
        </w:rPr>
        <w:t>5</w:t>
      </w:r>
      <w:r w:rsidR="00CC2694" w:rsidRPr="00C07989"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</w:p>
    <w:p w:rsidR="00386375" w:rsidRPr="00C93758" w:rsidRDefault="00386375" w:rsidP="00386375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Comrat</w:t>
      </w:r>
      <w:r w:rsidRPr="00261561">
        <w:rPr>
          <w:b/>
          <w:u w:val="single"/>
          <w:lang w:val="ro-RO"/>
        </w:rPr>
        <w:t xml:space="preserve"> cu sediul </w:t>
      </w:r>
      <w:r>
        <w:rPr>
          <w:b/>
          <w:u w:val="single"/>
          <w:lang w:val="ro-RO"/>
        </w:rPr>
        <w:t>or. Ciadîr-Lunga</w:t>
      </w:r>
      <w:r w:rsidRPr="00261561">
        <w:rPr>
          <w:b/>
          <w:u w:val="single"/>
          <w:lang w:val="ro-RO"/>
        </w:rPr>
        <w:t xml:space="preserve">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>
        <w:rPr>
          <w:b/>
          <w:lang w:val="ro-RO"/>
        </w:rPr>
        <w:t>1</w:t>
      </w:r>
      <w:r w:rsidRPr="00C93758">
        <w:rPr>
          <w:b/>
          <w:lang w:val="ro-RO"/>
        </w:rPr>
        <w:t xml:space="preserve"> </w:t>
      </w:r>
      <w:r>
        <w:rPr>
          <w:lang w:val="ro-RO"/>
        </w:rPr>
        <w:t>cauză</w:t>
      </w:r>
      <w:r w:rsidRPr="00C93758">
        <w:rPr>
          <w:lang w:val="ro-RO"/>
        </w:rPr>
        <w:t>, din care:</w:t>
      </w:r>
    </w:p>
    <w:p w:rsidR="00386375" w:rsidRDefault="00386375" w:rsidP="00386375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386375" w:rsidRPr="00C07989" w:rsidRDefault="00386375" w:rsidP="00386375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100 %)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1E60B8" w:rsidRPr="00C93758" w:rsidRDefault="001E60B8" w:rsidP="001E60B8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Comrat</w:t>
      </w:r>
      <w:r w:rsidRPr="00261561">
        <w:rPr>
          <w:b/>
          <w:u w:val="single"/>
          <w:lang w:val="ro-RO"/>
        </w:rPr>
        <w:t xml:space="preserve"> cu sediul </w:t>
      </w:r>
      <w:r>
        <w:rPr>
          <w:b/>
          <w:u w:val="single"/>
          <w:lang w:val="ro-RO"/>
        </w:rPr>
        <w:t>or. Vulcănești</w:t>
      </w:r>
      <w:r w:rsidRPr="00261561">
        <w:rPr>
          <w:b/>
          <w:u w:val="single"/>
          <w:lang w:val="ro-RO"/>
        </w:rPr>
        <w:t xml:space="preserve">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>
        <w:rPr>
          <w:b/>
          <w:lang w:val="ro-RO"/>
        </w:rPr>
        <w:t>1</w:t>
      </w:r>
      <w:r w:rsidRPr="00C93758">
        <w:rPr>
          <w:b/>
          <w:lang w:val="ro-RO"/>
        </w:rPr>
        <w:t xml:space="preserve"> </w:t>
      </w:r>
      <w:r>
        <w:rPr>
          <w:lang w:val="ro-RO"/>
        </w:rPr>
        <w:t>cauză</w:t>
      </w:r>
      <w:r w:rsidRPr="00C93758">
        <w:rPr>
          <w:lang w:val="ro-RO"/>
        </w:rPr>
        <w:t>, din care:</w:t>
      </w:r>
    </w:p>
    <w:p w:rsidR="001E60B8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1E60B8" w:rsidRPr="00C07989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100 %)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07989" w:rsidRDefault="006803FF" w:rsidP="00C07989">
      <w:pPr>
        <w:ind w:firstLine="0"/>
        <w:rPr>
          <w:lang w:val="ro-RO"/>
        </w:rPr>
      </w:pPr>
      <w:r w:rsidRPr="00353D1E">
        <w:rPr>
          <w:b/>
          <w:u w:val="single"/>
          <w:lang w:val="ro-RO"/>
        </w:rPr>
        <w:t xml:space="preserve">Judecătoria </w:t>
      </w:r>
      <w:r w:rsidR="00CC2694" w:rsidRPr="00353D1E">
        <w:rPr>
          <w:b/>
          <w:u w:val="single"/>
          <w:lang w:val="ro-RO"/>
        </w:rPr>
        <w:t xml:space="preserve">Chișinău cu sediul </w:t>
      </w:r>
      <w:r w:rsidR="008C48EC">
        <w:rPr>
          <w:b/>
          <w:u w:val="single"/>
          <w:lang w:val="ro-RO"/>
        </w:rPr>
        <w:t>Ciocana</w:t>
      </w:r>
      <w:r w:rsidRPr="00353D1E">
        <w:rPr>
          <w:lang w:val="ro-RO"/>
        </w:rPr>
        <w:t xml:space="preserve">– examinate – </w:t>
      </w:r>
      <w:r w:rsidR="00C25F31">
        <w:rPr>
          <w:b/>
          <w:lang w:val="ro-RO"/>
        </w:rPr>
        <w:t>3</w:t>
      </w:r>
      <w:r w:rsidR="00C25F31">
        <w:rPr>
          <w:lang w:val="ro-RO"/>
        </w:rPr>
        <w:t xml:space="preserve"> cauze</w:t>
      </w:r>
      <w:r w:rsidRPr="00353D1E">
        <w:rPr>
          <w:lang w:val="ro-RO"/>
        </w:rPr>
        <w:t xml:space="preserve">, </w:t>
      </w:r>
      <w:r w:rsidR="00C25F31">
        <w:rPr>
          <w:lang w:val="ro-RO"/>
        </w:rPr>
        <w:t>din care:</w:t>
      </w:r>
    </w:p>
    <w:p w:rsidR="00C07989" w:rsidRPr="00C07989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C25F31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</w:t>
      </w:r>
      <w:r w:rsidR="00C25F31">
        <w:rPr>
          <w:rFonts w:ascii="Times New Roman" w:hAnsi="Times New Roman"/>
          <w:sz w:val="22"/>
          <w:lang w:val="ro-RO"/>
        </w:rPr>
        <w:t>uză (33,33%)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8C48EC">
        <w:rPr>
          <w:rFonts w:ascii="Times New Roman" w:hAnsi="Times New Roman"/>
          <w:sz w:val="22"/>
          <w:lang w:val="ro-RO"/>
        </w:rPr>
        <w:t>,</w:t>
      </w:r>
    </w:p>
    <w:p w:rsidR="00CC2694" w:rsidRPr="00684A25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C25F31">
        <w:rPr>
          <w:rFonts w:ascii="Times New Roman" w:hAnsi="Times New Roman"/>
          <w:b/>
          <w:sz w:val="22"/>
          <w:lang w:val="ro-RO"/>
        </w:rPr>
        <w:t>2</w:t>
      </w:r>
      <w:r w:rsidR="00C25F31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( </w:t>
      </w:r>
      <w:r w:rsidR="00C25F31">
        <w:rPr>
          <w:rFonts w:ascii="Times New Roman" w:hAnsi="Times New Roman"/>
          <w:sz w:val="22"/>
          <w:lang w:val="ro-RO"/>
        </w:rPr>
        <w:t>66,67</w:t>
      </w:r>
      <w:r w:rsidR="00797177" w:rsidRPr="00C07989">
        <w:rPr>
          <w:rFonts w:ascii="Times New Roman" w:hAnsi="Times New Roman"/>
          <w:sz w:val="22"/>
          <w:lang w:val="ro-RO"/>
        </w:rPr>
        <w:t xml:space="preserve"> %).</w:t>
      </w:r>
    </w:p>
    <w:p w:rsidR="00684A25" w:rsidRDefault="00684A25" w:rsidP="00684A25">
      <w:pPr>
        <w:pStyle w:val="ac"/>
        <w:ind w:left="360" w:firstLine="0"/>
        <w:rPr>
          <w:rFonts w:ascii="Times New Roman" w:hAnsi="Times New Roman"/>
          <w:sz w:val="22"/>
          <w:lang w:val="ro-RO"/>
        </w:rPr>
      </w:pPr>
    </w:p>
    <w:p w:rsidR="00684A25" w:rsidRDefault="00684A25" w:rsidP="00684A25">
      <w:pPr>
        <w:pStyle w:val="ac"/>
        <w:ind w:left="360" w:firstLine="0"/>
        <w:rPr>
          <w:rFonts w:ascii="Times New Roman" w:hAnsi="Times New Roman"/>
          <w:sz w:val="22"/>
          <w:lang w:val="ro-RO"/>
        </w:rPr>
      </w:pPr>
    </w:p>
    <w:p w:rsidR="00684A25" w:rsidRPr="00C07989" w:rsidRDefault="00684A25" w:rsidP="00684A25">
      <w:pPr>
        <w:pStyle w:val="ac"/>
        <w:ind w:left="360" w:firstLine="0"/>
        <w:rPr>
          <w:rFonts w:ascii="Times New Roman" w:hAnsi="Times New Roman"/>
          <w:lang w:val="ro-RO"/>
        </w:rPr>
      </w:pPr>
    </w:p>
    <w:tbl>
      <w:tblPr>
        <w:tblW w:w="109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071"/>
        <w:gridCol w:w="1003"/>
        <w:gridCol w:w="1105"/>
        <w:gridCol w:w="1054"/>
        <w:gridCol w:w="1054"/>
        <w:gridCol w:w="884"/>
        <w:gridCol w:w="1105"/>
        <w:gridCol w:w="1020"/>
        <w:gridCol w:w="1173"/>
      </w:tblGrid>
      <w:tr w:rsidR="00147974" w:rsidRPr="00F3074A" w:rsidTr="00FF5880">
        <w:trPr>
          <w:trHeight w:val="152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>
            <w:pPr>
              <w:ind w:firstLine="0"/>
              <w:jc w:val="left"/>
              <w:rPr>
                <w:rFonts w:eastAsia="Times New Roman"/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firstLine="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hanging="49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hanging="6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hanging="31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firstLine="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firstLine="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firstLine="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firstLine="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147974">
            <w:pPr>
              <w:ind w:firstLine="0"/>
              <w:jc w:val="center"/>
              <w:rPr>
                <w:color w:val="000000"/>
                <w:lang w:val="ro-RO"/>
              </w:rPr>
            </w:pPr>
            <w:r w:rsidRPr="00147974">
              <w:rPr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147974" w:rsidRPr="00147974" w:rsidTr="00147974">
        <w:trPr>
          <w:trHeight w:val="56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FF5880">
            <w:pPr>
              <w:ind w:firstLine="284"/>
              <w:jc w:val="left"/>
              <w:rPr>
                <w:b/>
                <w:bCs/>
                <w:color w:val="000000"/>
                <w:lang w:val="ro-RO"/>
              </w:rPr>
            </w:pPr>
            <w:r w:rsidRPr="00147974">
              <w:rPr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313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1065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376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913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82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85,73%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53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206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191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22,56%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71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37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35,44%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66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133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39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64,56%</w:t>
            </w:r>
          </w:p>
        </w:tc>
      </w:tr>
      <w:tr w:rsidR="00147974" w:rsidRPr="00147974" w:rsidTr="00147974">
        <w:trPr>
          <w:trHeight w:val="74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FF5880">
            <w:pPr>
              <w:ind w:firstLine="284"/>
              <w:jc w:val="left"/>
              <w:rPr>
                <w:b/>
                <w:bCs/>
                <w:color w:val="000000"/>
                <w:lang w:val="ro-RO"/>
              </w:rPr>
            </w:pPr>
            <w:r w:rsidRPr="00147974">
              <w:rPr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455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376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82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#ДЕЛ/0!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53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191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#ДЕЛ/0!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71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37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20,00%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66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39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80,00%</w:t>
            </w:r>
          </w:p>
        </w:tc>
      </w:tr>
      <w:tr w:rsidR="00147974" w:rsidRPr="00147974" w:rsidTr="00147974">
        <w:trPr>
          <w:trHeight w:val="74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147974" w:rsidRDefault="00147974" w:rsidP="00FF5880">
            <w:pPr>
              <w:ind w:firstLine="284"/>
              <w:jc w:val="left"/>
              <w:rPr>
                <w:b/>
                <w:bCs/>
                <w:color w:val="000000"/>
                <w:lang w:val="ro-RO"/>
              </w:rPr>
            </w:pPr>
            <w:r w:rsidRPr="00147974">
              <w:rPr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455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376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82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86,30%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53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191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39,68%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71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37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16,00%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66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684A25" w:rsidRDefault="00147974" w:rsidP="00147974">
            <w:pPr>
              <w:ind w:firstLine="239"/>
              <w:jc w:val="left"/>
              <w:rPr>
                <w:lang w:val="ro-RO"/>
              </w:rPr>
            </w:pPr>
            <w:r w:rsidRPr="00684A25">
              <w:rPr>
                <w:sz w:val="22"/>
                <w:lang w:val="ro-RO"/>
              </w:rPr>
              <w:t>84,00%</w:t>
            </w:r>
          </w:p>
        </w:tc>
      </w:tr>
      <w:tr w:rsidR="00147974" w:rsidTr="00147974">
        <w:trPr>
          <w:trHeight w:val="74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Pr="00F3074A" w:rsidRDefault="00147974" w:rsidP="00FF5880">
            <w:pPr>
              <w:ind w:firstLine="284"/>
              <w:jc w:val="left"/>
              <w:rPr>
                <w:b/>
                <w:bCs/>
                <w:color w:val="000000"/>
                <w:lang w:val="en-US"/>
              </w:rPr>
            </w:pPr>
            <w:r w:rsidRPr="00F3074A">
              <w:rPr>
                <w:b/>
                <w:bCs/>
                <w:color w:val="000000"/>
                <w:sz w:val="22"/>
                <w:lang w:val="en-US"/>
              </w:rPr>
              <w:t>TOTAL cauze în Instanțe Judecătorești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1138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376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976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82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85,76%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253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246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191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25,20%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271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237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32,52%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266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166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974" w:rsidRDefault="00147974" w:rsidP="00147974">
            <w:pPr>
              <w:ind w:firstLine="239"/>
              <w:jc w:val="lef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</w:rPr>
              <w:t>67,48%</w:t>
            </w:r>
          </w:p>
        </w:tc>
      </w:tr>
    </w:tbl>
    <w:p w:rsidR="00A65008" w:rsidRPr="00487914" w:rsidRDefault="00147974" w:rsidP="00797177">
      <w:pPr>
        <w:pStyle w:val="a5"/>
        <w:tabs>
          <w:tab w:val="left" w:pos="142"/>
        </w:tabs>
        <w:ind w:right="-1" w:firstLine="567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t xml:space="preserve"> </w:t>
      </w:r>
      <w:r w:rsidR="00FF5880">
        <w:rPr>
          <w:noProof/>
        </w:rPr>
        <w:drawing>
          <wp:inline distT="0" distB="0" distL="0" distR="0" wp14:anchorId="3E650118" wp14:editId="2915F7C2">
            <wp:extent cx="6659880" cy="31432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57FC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B120AE" w:rsidRDefault="00035FDD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E0137F">
      <w:pPr>
        <w:pStyle w:val="a5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FC5880">
        <w:rPr>
          <w:lang w:val="ro-RO"/>
        </w:rPr>
        <w:t>6 luni</w:t>
      </w:r>
      <w:r w:rsidR="00963D10" w:rsidRPr="005C6D5A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9B27DD">
        <w:rPr>
          <w:b/>
          <w:lang w:val="ro-RO"/>
        </w:rPr>
        <w:t>97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CA34B9">
        <w:rPr>
          <w:b/>
          <w:lang w:val="ro-RO"/>
        </w:rPr>
        <w:t>11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9B27DD">
        <w:rPr>
          <w:b/>
          <w:lang w:val="ro-RO"/>
        </w:rPr>
        <w:t>86</w:t>
      </w:r>
      <w:r w:rsidR="007F27BB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5C6D5A">
        <w:rPr>
          <w:lang w:val="ro-RO"/>
        </w:rPr>
        <w:t>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9B27DD">
        <w:rPr>
          <w:b/>
          <w:lang w:val="ro-RO"/>
        </w:rPr>
        <w:t>84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>,</w:t>
      </w:r>
      <w:r w:rsidR="006B0591">
        <w:rPr>
          <w:lang w:val="ro-RO"/>
        </w:rPr>
        <w:t xml:space="preserve"> </w:t>
      </w:r>
      <w:r w:rsidR="006B0591" w:rsidRPr="00967789">
        <w:rPr>
          <w:i/>
          <w:lang w:val="ro-RO"/>
        </w:rPr>
        <w:t xml:space="preserve">din care fără soluționare în fond </w:t>
      </w:r>
      <w:r w:rsidR="00CA34B9">
        <w:rPr>
          <w:b/>
          <w:i/>
          <w:lang w:val="ro-RO"/>
        </w:rPr>
        <w:t>0</w:t>
      </w:r>
      <w:r w:rsidR="00641C59" w:rsidRPr="00047E4C">
        <w:rPr>
          <w:i/>
          <w:lang w:val="ro-RO"/>
        </w:rPr>
        <w:t xml:space="preserve"> cauze</w:t>
      </w:r>
      <w:r w:rsidR="006B0591" w:rsidRPr="00967789">
        <w:rPr>
          <w:i/>
          <w:lang w:val="ro-RO"/>
        </w:rPr>
        <w:t>,</w:t>
      </w:r>
      <w:r w:rsidR="00AB5D13" w:rsidRPr="005C6D5A">
        <w:rPr>
          <w:lang w:val="ro-RO"/>
        </w:rPr>
        <w:t xml:space="preserve">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CA34B9">
        <w:rPr>
          <w:b/>
          <w:i/>
          <w:lang w:val="ro-RO"/>
        </w:rPr>
        <w:t>0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N</w:t>
      </w:r>
      <w:r w:rsidR="006B0591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6B0591">
        <w:rPr>
          <w:lang w:val="ro-RO"/>
        </w:rPr>
        <w:t>lor pendinte la sfâ</w:t>
      </w:r>
      <w:r w:rsidRPr="005C6D5A">
        <w:rPr>
          <w:lang w:val="ro-RO"/>
        </w:rPr>
        <w:t xml:space="preserve">rșitul perioadei raportate constituie </w:t>
      </w:r>
      <w:r w:rsidR="009B27DD">
        <w:rPr>
          <w:b/>
          <w:lang w:val="ro-RO"/>
        </w:rPr>
        <w:t>13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9B27DD">
        <w:rPr>
          <w:b/>
          <w:lang w:val="ro-RO"/>
        </w:rPr>
        <w:t>97,67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</w:t>
      </w:r>
      <w:r w:rsidR="00B70557">
        <w:rPr>
          <w:lang w:val="ro-RO"/>
        </w:rPr>
        <w:t xml:space="preserve">rul cauzelor nesoluționate la </w:t>
      </w:r>
      <w:r w:rsidR="00487914">
        <w:rPr>
          <w:lang w:val="ro-RO"/>
        </w:rPr>
        <w:t>sfâ</w:t>
      </w:r>
      <w:r w:rsidR="00487914" w:rsidRPr="008D4C14">
        <w:rPr>
          <w:lang w:val="ro-RO"/>
        </w:rPr>
        <w:t>rșitul</w:t>
      </w:r>
      <w:r w:rsidRPr="008D4C14">
        <w:rPr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9B27DD">
        <w:rPr>
          <w:b/>
          <w:lang w:val="ro-RO"/>
        </w:rPr>
        <w:t>28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</w:t>
      </w:r>
    </w:p>
    <w:p w:rsidR="00350D54" w:rsidRDefault="00712977" w:rsidP="00350D54">
      <w:pPr>
        <w:ind w:right="-1"/>
        <w:rPr>
          <w:lang w:val="ro-RO"/>
        </w:rPr>
      </w:pPr>
      <w:r w:rsidRPr="008D4C14">
        <w:rPr>
          <w:lang w:val="ro-RO"/>
        </w:rPr>
        <w:t xml:space="preserve">Numărul de cauze </w:t>
      </w:r>
      <w:r w:rsidR="00CB75BE">
        <w:rPr>
          <w:lang w:val="ro-RO"/>
        </w:rPr>
        <w:t>contravenționale</w:t>
      </w:r>
      <w:r w:rsidRPr="008D4C14">
        <w:rPr>
          <w:lang w:val="ro-RO"/>
        </w:rPr>
        <w:t xml:space="preserve"> examinate de un judecător în </w:t>
      </w:r>
      <w:r w:rsidR="00CA34B9">
        <w:rPr>
          <w:lang w:val="ro-RO"/>
        </w:rPr>
        <w:t xml:space="preserve">mediu </w:t>
      </w:r>
      <w:r w:rsidRPr="00607193">
        <w:rPr>
          <w:lang w:val="ro-RO"/>
        </w:rPr>
        <w:t xml:space="preserve">constituie </w:t>
      </w:r>
      <w:r w:rsidR="009B27DD">
        <w:rPr>
          <w:b/>
          <w:lang w:val="ro-RO"/>
        </w:rPr>
        <w:t>9</w:t>
      </w:r>
      <w:r w:rsidRPr="00607193">
        <w:rPr>
          <w:b/>
          <w:lang w:val="ro-RO"/>
        </w:rPr>
        <w:t xml:space="preserve"> </w:t>
      </w:r>
      <w:r w:rsidR="001D1D6A" w:rsidRPr="00607193">
        <w:rPr>
          <w:b/>
          <w:lang w:val="ro-RO"/>
        </w:rPr>
        <w:t>cauze</w:t>
      </w:r>
      <w:r w:rsidR="00CD27F7" w:rsidRPr="00607193">
        <w:rPr>
          <w:b/>
          <w:lang w:val="ro-RO"/>
        </w:rPr>
        <w:t xml:space="preserve">. </w:t>
      </w:r>
    </w:p>
    <w:p w:rsidR="00CC3CBF" w:rsidRDefault="00CC3CBF" w:rsidP="00350D54">
      <w:pPr>
        <w:ind w:right="-1"/>
        <w:rPr>
          <w:lang w:val="ro-RO"/>
        </w:rPr>
      </w:pPr>
    </w:p>
    <w:p w:rsidR="00CC3CBF" w:rsidRDefault="00CC3CBF" w:rsidP="00350D54">
      <w:pPr>
        <w:ind w:right="-1"/>
        <w:rPr>
          <w:lang w:val="ro-RO"/>
        </w:rPr>
      </w:pPr>
    </w:p>
    <w:p w:rsidR="00CC3CBF" w:rsidRDefault="00CC3CBF" w:rsidP="00350D54">
      <w:pPr>
        <w:ind w:right="-1"/>
        <w:rPr>
          <w:lang w:val="ro-RO"/>
        </w:rPr>
      </w:pPr>
    </w:p>
    <w:p w:rsidR="00CC3CBF" w:rsidRPr="00C33C4E" w:rsidRDefault="00CC3CBF" w:rsidP="00350D54">
      <w:pPr>
        <w:ind w:right="-1"/>
        <w:rPr>
          <w:color w:val="FF0000"/>
          <w:lang w:val="ro-RO"/>
        </w:rPr>
      </w:pPr>
    </w:p>
    <w:p w:rsidR="00385E33" w:rsidRPr="006A20E3" w:rsidRDefault="00385E33" w:rsidP="00CA34B9">
      <w:pPr>
        <w:ind w:firstLine="0"/>
        <w:rPr>
          <w:b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963D10" w:rsidRDefault="00F20ED2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Analiza activității privind </w:t>
      </w:r>
      <w:r w:rsidRPr="002A1595">
        <w:rPr>
          <w:rFonts w:ascii="Times New Roman" w:hAnsi="Times New Roman"/>
          <w:i/>
          <w:sz w:val="24"/>
          <w:szCs w:val="24"/>
          <w:lang w:val="ro-RO"/>
        </w:rPr>
        <w:t xml:space="preserve">examinarea cauzelor și materialelor contravenționale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035FDD" w:rsidRPr="00015709" w:rsidRDefault="00035FDD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D1037" w:rsidRPr="00B120AE" w:rsidRDefault="009B27DD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C2B046F" wp14:editId="3BCF67C6">
            <wp:extent cx="5819775" cy="304800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D1D6A" w:rsidRPr="00B120AE" w:rsidRDefault="001D1D6A" w:rsidP="00EF7F2E">
      <w:pPr>
        <w:pStyle w:val="a5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7D1037" w:rsidRDefault="007D1037" w:rsidP="00DD79B8">
      <w:pPr>
        <w:pStyle w:val="a5"/>
        <w:tabs>
          <w:tab w:val="left" w:pos="142"/>
        </w:tabs>
        <w:ind w:left="567" w:right="-1"/>
        <w:jc w:val="center"/>
        <w:rPr>
          <w:noProof/>
        </w:rPr>
      </w:pPr>
    </w:p>
    <w:p w:rsidR="009B27DD" w:rsidRPr="00B120AE" w:rsidRDefault="009B27DD" w:rsidP="00DD79B8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7E4F161" wp14:editId="288BED2B">
            <wp:extent cx="5636895" cy="287655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D79B8" w:rsidRDefault="009B27DD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BD7F237" wp14:editId="40C08A33">
            <wp:extent cx="5495925" cy="253365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3387" w:rsidRPr="00B120AE" w:rsidRDefault="00153387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365ADF" w:rsidRDefault="00895B4F" w:rsidP="00385E33">
      <w:pPr>
        <w:rPr>
          <w:b/>
          <w:lang w:val="ro-RO"/>
        </w:rPr>
      </w:pPr>
      <w:r w:rsidRPr="00365ADF">
        <w:rPr>
          <w:b/>
          <w:lang w:val="ro-RO"/>
        </w:rPr>
        <w:t xml:space="preserve">Datele statistice pe cauzele și materiale </w:t>
      </w:r>
      <w:r w:rsidR="00850420" w:rsidRPr="00365ADF">
        <w:rPr>
          <w:b/>
          <w:lang w:val="ro-RO"/>
        </w:rPr>
        <w:t>contravenționale</w:t>
      </w:r>
      <w:r w:rsidRPr="00365ADF">
        <w:rPr>
          <w:b/>
          <w:lang w:val="ro-RO"/>
        </w:rPr>
        <w:t xml:space="preserve"> parvenite spre examinare în ordine de recurs </w:t>
      </w:r>
      <w:r w:rsidR="002475BB" w:rsidRPr="00365ADF">
        <w:rPr>
          <w:b/>
          <w:lang w:val="ro-RO"/>
        </w:rPr>
        <w:t xml:space="preserve">cu indicele (4r) </w:t>
      </w:r>
      <w:r w:rsidRPr="00365ADF">
        <w:rPr>
          <w:b/>
          <w:lang w:val="ro-RO"/>
        </w:rPr>
        <w:t xml:space="preserve">din judecătoriile din </w:t>
      </w:r>
      <w:r w:rsidR="00850420" w:rsidRPr="00365ADF">
        <w:rPr>
          <w:b/>
          <w:lang w:val="ro-RO"/>
        </w:rPr>
        <w:t>circumscripția</w:t>
      </w:r>
      <w:r w:rsidRPr="00365ADF">
        <w:rPr>
          <w:b/>
          <w:lang w:val="ro-RO"/>
        </w:rPr>
        <w:t xml:space="preserve"> </w:t>
      </w:r>
      <w:r w:rsidR="00850420" w:rsidRPr="00365ADF">
        <w:rPr>
          <w:b/>
          <w:lang w:val="ro-RO"/>
        </w:rPr>
        <w:t>Curții</w:t>
      </w:r>
      <w:r w:rsidRPr="00365ADF">
        <w:rPr>
          <w:b/>
          <w:lang w:val="ro-RO"/>
        </w:rPr>
        <w:t xml:space="preserve"> de Apel Cahul și alte instanțe</w:t>
      </w:r>
    </w:p>
    <w:p w:rsidR="00895B4F" w:rsidRPr="00797177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5E43D8" w:rsidRDefault="00895B4F" w:rsidP="00FB4E85">
      <w:pPr>
        <w:ind w:right="-1"/>
        <w:rPr>
          <w:lang w:val="ro-RO"/>
        </w:rPr>
      </w:pPr>
      <w:r w:rsidRPr="005E43D8">
        <w:rPr>
          <w:lang w:val="ro-RO"/>
        </w:rPr>
        <w:t xml:space="preserve">Datele statistice pe </w:t>
      </w:r>
      <w:r w:rsidRPr="005E43D8">
        <w:rPr>
          <w:i/>
          <w:lang w:val="ro-RO"/>
        </w:rPr>
        <w:t>cauzele și materiale contravenționale</w:t>
      </w:r>
      <w:r w:rsidRPr="005E43D8">
        <w:rPr>
          <w:lang w:val="ro-RO"/>
        </w:rPr>
        <w:t xml:space="preserve">  parvenite spre examinare </w:t>
      </w:r>
      <w:r w:rsidRPr="005E43D8">
        <w:rPr>
          <w:i/>
          <w:lang w:val="ro-RO"/>
        </w:rPr>
        <w:t>în ordine de recurs</w:t>
      </w:r>
      <w:r w:rsidRPr="005E43D8">
        <w:rPr>
          <w:lang w:val="ro-RO"/>
        </w:rPr>
        <w:t xml:space="preserve"> </w:t>
      </w:r>
      <w:r w:rsidR="00F20ED2" w:rsidRPr="005E43D8">
        <w:rPr>
          <w:lang w:val="ro-RO"/>
        </w:rPr>
        <w:t>din judecătoriile din raza de activitate a Cu</w:t>
      </w:r>
      <w:r w:rsidR="002475BB" w:rsidRPr="005E43D8">
        <w:rPr>
          <w:lang w:val="ro-RO"/>
        </w:rPr>
        <w:t xml:space="preserve">rții de Apel Cahul în perioada </w:t>
      </w:r>
      <w:r w:rsidR="00FC5880">
        <w:rPr>
          <w:lang w:val="ro-RO"/>
        </w:rPr>
        <w:t>6 luni</w:t>
      </w:r>
      <w:r w:rsidR="005C6D5A" w:rsidRPr="005E43D8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F20ED2" w:rsidRPr="005E43D8">
        <w:rPr>
          <w:lang w:val="ro-RO"/>
        </w:rPr>
        <w:t xml:space="preserve"> sunt următoarele:</w:t>
      </w:r>
    </w:p>
    <w:p w:rsidR="00C07989" w:rsidRDefault="00C000DE" w:rsidP="00C07989">
      <w:pPr>
        <w:ind w:firstLine="0"/>
        <w:rPr>
          <w:rFonts w:cs="Times New Roman"/>
          <w:lang w:val="ro-RO"/>
        </w:rPr>
      </w:pPr>
      <w:r w:rsidRPr="00AC6742">
        <w:rPr>
          <w:rFonts w:cs="Times New Roman"/>
          <w:b/>
          <w:u w:val="single"/>
          <w:lang w:val="ro-RO"/>
        </w:rPr>
        <w:t>Judecătoria Cahul</w:t>
      </w:r>
      <w:r w:rsidRPr="00AC6742">
        <w:rPr>
          <w:rFonts w:cs="Times New Roman"/>
          <w:lang w:val="ro-RO"/>
        </w:rPr>
        <w:t xml:space="preserve"> – examinate – </w:t>
      </w:r>
      <w:r w:rsidR="007D7C89">
        <w:rPr>
          <w:rFonts w:cs="Times New Roman"/>
          <w:b/>
          <w:lang w:val="ro-RO"/>
        </w:rPr>
        <w:t>57</w:t>
      </w:r>
      <w:r w:rsidRPr="00AC6742">
        <w:rPr>
          <w:rFonts w:cs="Times New Roman"/>
          <w:lang w:val="ro-RO"/>
        </w:rPr>
        <w:t xml:space="preserve"> cauze (Nr. persoane - </w:t>
      </w:r>
      <w:r w:rsidR="007D7C89">
        <w:rPr>
          <w:rFonts w:cs="Times New Roman"/>
          <w:b/>
          <w:lang w:val="ro-RO"/>
        </w:rPr>
        <w:t>57</w:t>
      </w:r>
      <w:r w:rsidRPr="00AC6742">
        <w:rPr>
          <w:rFonts w:cs="Times New Roman"/>
          <w:lang w:val="ro-RO"/>
        </w:rPr>
        <w:t xml:space="preserve">), cu </w:t>
      </w:r>
      <w:r w:rsidR="007D7C89">
        <w:rPr>
          <w:rFonts w:cs="Times New Roman"/>
          <w:b/>
          <w:lang w:val="ro-RO"/>
        </w:rPr>
        <w:t>1</w:t>
      </w:r>
      <w:r w:rsidR="007D7C89">
        <w:rPr>
          <w:rFonts w:cs="Times New Roman"/>
          <w:lang w:val="ro-RO"/>
        </w:rPr>
        <w:t xml:space="preserve"> cauză</w:t>
      </w:r>
      <w:r w:rsidRPr="00AC6742">
        <w:rPr>
          <w:rFonts w:cs="Times New Roman"/>
          <w:lang w:val="ro-RO"/>
        </w:rPr>
        <w:t xml:space="preserve"> mai </w:t>
      </w:r>
      <w:r w:rsidR="007D7C89">
        <w:rPr>
          <w:rFonts w:cs="Times New Roman"/>
          <w:lang w:val="ro-RO"/>
        </w:rPr>
        <w:t>mult</w:t>
      </w:r>
      <w:r w:rsidRPr="00AC6742">
        <w:rPr>
          <w:rFonts w:cs="Times New Roman"/>
          <w:lang w:val="ro-RO"/>
        </w:rPr>
        <w:t xml:space="preserve"> ca în aceeași perioadă a anului </w:t>
      </w:r>
      <w:r w:rsidR="0028196B">
        <w:rPr>
          <w:rFonts w:cs="Times New Roman"/>
          <w:lang w:val="ro-RO"/>
        </w:rPr>
        <w:t>2018</w:t>
      </w:r>
      <w:r w:rsidRPr="00AC6742">
        <w:rPr>
          <w:rFonts w:cs="Times New Roman"/>
          <w:lang w:val="ro-RO"/>
        </w:rPr>
        <w:t>.</w:t>
      </w:r>
    </w:p>
    <w:p w:rsidR="00C07989" w:rsidRPr="00C07989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="007D7C89">
        <w:rPr>
          <w:rFonts w:ascii="Times New Roman" w:hAnsi="Times New Roman"/>
          <w:sz w:val="22"/>
          <w:lang w:val="ro-RO"/>
        </w:rPr>
        <w:t xml:space="preserve"> </w:t>
      </w:r>
      <w:r w:rsidR="007D7C89">
        <w:rPr>
          <w:rFonts w:ascii="Times New Roman" w:hAnsi="Times New Roman"/>
          <w:b/>
          <w:sz w:val="22"/>
          <w:lang w:val="ro-RO"/>
        </w:rPr>
        <w:t>28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="007D7C89">
        <w:rPr>
          <w:rFonts w:ascii="Times New Roman" w:hAnsi="Times New Roman"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 w:rsidR="007D7C89">
        <w:rPr>
          <w:rFonts w:ascii="Times New Roman" w:hAnsi="Times New Roman"/>
          <w:sz w:val="22"/>
          <w:lang w:val="ro-RO"/>
        </w:rPr>
        <w:t>49,12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7D7C89">
        <w:rPr>
          <w:rFonts w:ascii="Times New Roman" w:hAnsi="Times New Roman"/>
          <w:b/>
          <w:sz w:val="22"/>
          <w:lang w:val="ro-RO"/>
        </w:rPr>
        <w:t>7</w:t>
      </w:r>
      <w:r w:rsidRPr="00C07989">
        <w:rPr>
          <w:rFonts w:ascii="Times New Roman" w:hAnsi="Times New Roman"/>
          <w:sz w:val="22"/>
          <w:lang w:val="ro-RO"/>
        </w:rPr>
        <w:t xml:space="preserve"> cauze mai </w:t>
      </w:r>
      <w:r w:rsidR="007D7C89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 xml:space="preserve">, 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7D7C89">
        <w:rPr>
          <w:rFonts w:ascii="Times New Roman" w:hAnsi="Times New Roman"/>
          <w:b/>
          <w:sz w:val="22"/>
          <w:lang w:val="ro-RO"/>
        </w:rPr>
        <w:t>29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7D7C89">
        <w:rPr>
          <w:rFonts w:ascii="Times New Roman" w:hAnsi="Times New Roman"/>
          <w:sz w:val="22"/>
          <w:lang w:val="ro-RO"/>
        </w:rPr>
        <w:t>80,88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7D7C89">
        <w:rPr>
          <w:rFonts w:ascii="Times New Roman" w:hAnsi="Times New Roman"/>
          <w:b/>
          <w:sz w:val="22"/>
          <w:lang w:val="ro-RO"/>
        </w:rPr>
        <w:t>6</w:t>
      </w:r>
      <w:r w:rsidRPr="00C07989">
        <w:rPr>
          <w:rFonts w:ascii="Times New Roman" w:hAnsi="Times New Roman"/>
          <w:sz w:val="22"/>
          <w:lang w:val="ro-RO"/>
        </w:rPr>
        <w:t xml:space="preserve"> cauze mai puțin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07989" w:rsidRDefault="00C000DE" w:rsidP="00C07989">
      <w:pPr>
        <w:ind w:firstLine="0"/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>Judecătoria Cahul cu sediul în or. Cantemir</w:t>
      </w:r>
      <w:r w:rsidRPr="00096B79">
        <w:rPr>
          <w:rFonts w:cs="Times New Roman"/>
          <w:lang w:val="ro-RO"/>
        </w:rPr>
        <w:t xml:space="preserve"> – examinate – </w:t>
      </w:r>
      <w:r w:rsidR="007D7C89">
        <w:rPr>
          <w:rFonts w:cs="Times New Roman"/>
          <w:b/>
          <w:lang w:val="ro-RO"/>
        </w:rPr>
        <w:t>7</w:t>
      </w:r>
      <w:r w:rsidRPr="00096B79">
        <w:rPr>
          <w:rFonts w:cs="Times New Roman"/>
          <w:b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cauze (Nr. persoane - </w:t>
      </w:r>
      <w:r w:rsidR="007D7C89">
        <w:rPr>
          <w:rFonts w:cs="Times New Roman"/>
          <w:b/>
          <w:lang w:val="ro-RO"/>
        </w:rPr>
        <w:t>7</w:t>
      </w:r>
      <w:r w:rsidRPr="00096B79">
        <w:rPr>
          <w:rFonts w:cs="Times New Roman"/>
          <w:lang w:val="ro-RO"/>
        </w:rPr>
        <w:t xml:space="preserve">), </w:t>
      </w:r>
      <w:r w:rsidRPr="00D62857">
        <w:rPr>
          <w:szCs w:val="24"/>
          <w:lang w:val="ro-RO"/>
        </w:rPr>
        <w:t xml:space="preserve">cu </w:t>
      </w:r>
      <w:r w:rsidR="007D7C89">
        <w:rPr>
          <w:b/>
          <w:szCs w:val="24"/>
          <w:lang w:val="ro-RO"/>
        </w:rPr>
        <w:t>1</w:t>
      </w:r>
      <w:r w:rsidRPr="00D62857">
        <w:rPr>
          <w:szCs w:val="24"/>
          <w:lang w:val="ro-RO"/>
        </w:rPr>
        <w:t xml:space="preserve"> ca</w:t>
      </w:r>
      <w:r w:rsidR="007D7C89">
        <w:rPr>
          <w:szCs w:val="24"/>
          <w:lang w:val="ro-RO"/>
        </w:rPr>
        <w:t>uză</w:t>
      </w:r>
      <w:r w:rsidRPr="00D62857">
        <w:rPr>
          <w:szCs w:val="24"/>
          <w:lang w:val="ro-RO"/>
        </w:rPr>
        <w:t xml:space="preserve"> mai </w:t>
      </w:r>
      <w:r w:rsidR="007D7C89">
        <w:rPr>
          <w:szCs w:val="24"/>
          <w:lang w:val="ro-RO"/>
        </w:rPr>
        <w:t>puțin</w:t>
      </w:r>
      <w:r w:rsidRPr="00096B79">
        <w:rPr>
          <w:sz w:val="22"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 în aceeași perioadă a anului </w:t>
      </w:r>
      <w:r w:rsidR="0028196B">
        <w:rPr>
          <w:rFonts w:cs="Times New Roman"/>
          <w:lang w:val="ro-RO"/>
        </w:rPr>
        <w:t>2018</w:t>
      </w:r>
      <w:r w:rsidRPr="00096B79">
        <w:rPr>
          <w:rFonts w:cs="Times New Roman"/>
          <w:lang w:val="ro-RO"/>
        </w:rPr>
        <w:t>,</w:t>
      </w:r>
    </w:p>
    <w:p w:rsidR="00C07989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7D7C89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7D7C89">
        <w:rPr>
          <w:rFonts w:ascii="Times New Roman" w:hAnsi="Times New Roman"/>
          <w:sz w:val="22"/>
          <w:lang w:val="ro-RO"/>
        </w:rPr>
        <w:t>42,86</w:t>
      </w:r>
      <w:r w:rsidRPr="00C07989">
        <w:rPr>
          <w:rFonts w:ascii="Times New Roman" w:hAnsi="Times New Roman"/>
          <w:sz w:val="22"/>
          <w:lang w:val="ro-RO"/>
        </w:rPr>
        <w:t xml:space="preserve"> %) cu </w:t>
      </w:r>
      <w:r w:rsidR="00F05268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</w:t>
      </w:r>
      <w:r w:rsidR="007D7C89">
        <w:rPr>
          <w:rFonts w:ascii="Times New Roman" w:hAnsi="Times New Roman"/>
          <w:sz w:val="22"/>
          <w:lang w:val="ro-RO"/>
        </w:rPr>
        <w:t>puțin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 xml:space="preserve">, 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7D7C89">
        <w:rPr>
          <w:rFonts w:ascii="Times New Roman" w:hAnsi="Times New Roman"/>
          <w:b/>
          <w:sz w:val="22"/>
          <w:lang w:val="ro-RO"/>
        </w:rPr>
        <w:t>4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7D7C89">
        <w:rPr>
          <w:rFonts w:ascii="Times New Roman" w:hAnsi="Times New Roman"/>
          <w:sz w:val="22"/>
          <w:lang w:val="ro-RO"/>
        </w:rPr>
        <w:t>57,14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  <w:r w:rsidR="00F05268" w:rsidRPr="00C07989">
        <w:rPr>
          <w:rFonts w:ascii="Times New Roman" w:hAnsi="Times New Roman"/>
          <w:sz w:val="22"/>
          <w:lang w:val="ro-RO"/>
        </w:rPr>
        <w:t xml:space="preserve">cu </w:t>
      </w:r>
      <w:r w:rsidR="007D7C89">
        <w:rPr>
          <w:rFonts w:ascii="Times New Roman" w:hAnsi="Times New Roman"/>
          <w:b/>
          <w:sz w:val="22"/>
          <w:lang w:val="ro-RO"/>
        </w:rPr>
        <w:t>1</w:t>
      </w:r>
      <w:r w:rsidR="007D7C89">
        <w:rPr>
          <w:rFonts w:ascii="Times New Roman" w:hAnsi="Times New Roman"/>
          <w:sz w:val="22"/>
          <w:lang w:val="ro-RO"/>
        </w:rPr>
        <w:t xml:space="preserve"> cauză</w:t>
      </w:r>
      <w:r w:rsidR="00F05268" w:rsidRPr="00C07989">
        <w:rPr>
          <w:rFonts w:ascii="Times New Roman" w:hAnsi="Times New Roman"/>
          <w:sz w:val="22"/>
          <w:lang w:val="ro-RO"/>
        </w:rPr>
        <w:t xml:space="preserve"> mai mult </w:t>
      </w:r>
      <w:r w:rsidRPr="00C07989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  <w:r w:rsidR="00F05268">
        <w:rPr>
          <w:rFonts w:ascii="Times New Roman" w:hAnsi="Times New Roman"/>
          <w:sz w:val="22"/>
          <w:lang w:val="ro-RO"/>
        </w:rPr>
        <w:t xml:space="preserve"> </w:t>
      </w:r>
    </w:p>
    <w:p w:rsidR="00C000DE" w:rsidRDefault="00C000DE" w:rsidP="00C07989">
      <w:pPr>
        <w:ind w:firstLine="0"/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Cahul cu sediul în or. Taraclia </w:t>
      </w:r>
      <w:r w:rsidRPr="00096B79">
        <w:rPr>
          <w:rFonts w:cs="Times New Roman"/>
          <w:lang w:val="ro-RO"/>
        </w:rPr>
        <w:t xml:space="preserve">– examinate – </w:t>
      </w:r>
      <w:r w:rsidR="007D7C89">
        <w:rPr>
          <w:rFonts w:cs="Times New Roman"/>
          <w:b/>
          <w:lang w:val="ro-RO"/>
        </w:rPr>
        <w:t>14</w:t>
      </w:r>
      <w:r w:rsidRPr="00096B79">
        <w:rPr>
          <w:rFonts w:cs="Times New Roman"/>
          <w:lang w:val="ro-RO"/>
        </w:rPr>
        <w:t xml:space="preserve"> cauze (Nr. persoane - </w:t>
      </w:r>
      <w:r w:rsidR="007D7C89">
        <w:rPr>
          <w:rFonts w:cs="Times New Roman"/>
          <w:b/>
          <w:lang w:val="ro-RO"/>
        </w:rPr>
        <w:t>14</w:t>
      </w:r>
      <w:r w:rsidRPr="00096B79">
        <w:rPr>
          <w:rFonts w:cs="Times New Roman"/>
          <w:lang w:val="ro-RO"/>
        </w:rPr>
        <w:t xml:space="preserve"> ), cu </w:t>
      </w:r>
      <w:r w:rsidR="007D7C89">
        <w:rPr>
          <w:rFonts w:cs="Times New Roman"/>
          <w:b/>
          <w:lang w:val="ro-RO"/>
        </w:rPr>
        <w:t>8</w:t>
      </w:r>
      <w:r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mai </w:t>
      </w:r>
      <w:r w:rsidR="00F05268">
        <w:rPr>
          <w:rFonts w:cs="Times New Roman"/>
          <w:lang w:val="ro-RO"/>
        </w:rPr>
        <w:t>mult</w:t>
      </w:r>
      <w:r w:rsidRPr="00096B79">
        <w:rPr>
          <w:rFonts w:cs="Times New Roman"/>
          <w:lang w:val="ro-RO"/>
        </w:rPr>
        <w:t xml:space="preserve"> ca în aceeași perioadă a anului </w:t>
      </w:r>
      <w:r w:rsidR="0028196B">
        <w:rPr>
          <w:rFonts w:cs="Times New Roman"/>
          <w:lang w:val="ro-RO"/>
        </w:rPr>
        <w:t>2018</w:t>
      </w:r>
      <w:r w:rsidRPr="00096B79">
        <w:rPr>
          <w:rFonts w:cs="Times New Roman"/>
          <w:lang w:val="ro-RO"/>
        </w:rPr>
        <w:t>,</w:t>
      </w:r>
    </w:p>
    <w:p w:rsid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7D7C89">
        <w:rPr>
          <w:rFonts w:ascii="Times New Roman" w:hAnsi="Times New Roman"/>
          <w:b/>
          <w:sz w:val="22"/>
          <w:lang w:val="ro-RO"/>
        </w:rPr>
        <w:t>7</w:t>
      </w:r>
      <w:r w:rsidRPr="00C07989">
        <w:rPr>
          <w:rFonts w:ascii="Times New Roman" w:hAnsi="Times New Roman"/>
          <w:sz w:val="22"/>
          <w:lang w:val="ro-RO"/>
        </w:rPr>
        <w:t xml:space="preserve"> cauze (</w:t>
      </w:r>
      <w:r w:rsidR="00F05268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7D7C89">
        <w:rPr>
          <w:rFonts w:ascii="Times New Roman" w:hAnsi="Times New Roman"/>
          <w:b/>
          <w:sz w:val="22"/>
          <w:lang w:val="ro-RO"/>
        </w:rPr>
        <w:t>3</w:t>
      </w:r>
      <w:r w:rsidR="007D7C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7D7C89">
        <w:rPr>
          <w:rFonts w:ascii="Times New Roman" w:hAnsi="Times New Roman"/>
          <w:b/>
          <w:sz w:val="22"/>
          <w:lang w:val="ro-RO"/>
        </w:rPr>
        <w:t>7</w:t>
      </w:r>
      <w:r w:rsidRPr="00C07989">
        <w:rPr>
          <w:rFonts w:ascii="Times New Roman" w:hAnsi="Times New Roman"/>
          <w:sz w:val="22"/>
          <w:lang w:val="ro-RO"/>
        </w:rPr>
        <w:t xml:space="preserve"> cauze (</w:t>
      </w:r>
      <w:r w:rsidR="00F05268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7D7C89">
        <w:rPr>
          <w:rFonts w:ascii="Times New Roman" w:hAnsi="Times New Roman"/>
          <w:b/>
          <w:sz w:val="22"/>
          <w:lang w:val="ro-RO"/>
        </w:rPr>
        <w:t>5</w:t>
      </w:r>
      <w:r w:rsidRPr="00C07989">
        <w:rPr>
          <w:rFonts w:ascii="Times New Roman" w:hAnsi="Times New Roman"/>
          <w:sz w:val="22"/>
          <w:lang w:val="ro-RO"/>
        </w:rPr>
        <w:t xml:space="preserve"> cauze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</w:p>
    <w:p w:rsidR="007D7C89" w:rsidRDefault="00261561" w:rsidP="007D7C89">
      <w:pPr>
        <w:ind w:firstLine="0"/>
        <w:rPr>
          <w:rFonts w:cs="Times New Roman"/>
          <w:lang w:val="ro-RO"/>
        </w:rPr>
      </w:pPr>
      <w:r w:rsidRPr="00261561">
        <w:rPr>
          <w:rFonts w:cs="Times New Roman"/>
          <w:b/>
          <w:u w:val="single"/>
          <w:lang w:val="ro-RO"/>
        </w:rPr>
        <w:t>Judecătoria Comrat</w:t>
      </w:r>
      <w:r w:rsidRPr="00261561">
        <w:rPr>
          <w:rFonts w:cs="Times New Roman"/>
          <w:lang w:val="ro-RO"/>
        </w:rPr>
        <w:t xml:space="preserve">– examinate – </w:t>
      </w:r>
      <w:r w:rsidR="007D7C89">
        <w:rPr>
          <w:rFonts w:cs="Times New Roman"/>
          <w:b/>
          <w:lang w:val="ro-RO"/>
        </w:rPr>
        <w:t>2</w:t>
      </w:r>
      <w:r w:rsidR="007D7C89">
        <w:rPr>
          <w:rFonts w:cs="Times New Roman"/>
          <w:lang w:val="ro-RO"/>
        </w:rPr>
        <w:t xml:space="preserve"> cauze</w:t>
      </w:r>
      <w:r w:rsidRPr="00261561">
        <w:rPr>
          <w:rFonts w:cs="Times New Roman"/>
          <w:lang w:val="ro-RO"/>
        </w:rPr>
        <w:t xml:space="preserve"> (Nr. persoane - </w:t>
      </w:r>
      <w:r w:rsidR="007D7C89">
        <w:rPr>
          <w:rFonts w:cs="Times New Roman"/>
          <w:b/>
          <w:lang w:val="ro-RO"/>
        </w:rPr>
        <w:t>2</w:t>
      </w:r>
      <w:r w:rsidR="007D7C89">
        <w:rPr>
          <w:rFonts w:cs="Times New Roman"/>
          <w:lang w:val="ro-RO"/>
        </w:rPr>
        <w:t xml:space="preserve"> ),</w:t>
      </w:r>
    </w:p>
    <w:p w:rsidR="00C07989" w:rsidRPr="007D7C89" w:rsidRDefault="00261561" w:rsidP="007D7C89">
      <w:pPr>
        <w:pStyle w:val="ac"/>
        <w:numPr>
          <w:ilvl w:val="0"/>
          <w:numId w:val="11"/>
        </w:numPr>
        <w:rPr>
          <w:rFonts w:ascii="Times New Roman" w:hAnsi="Times New Roman"/>
          <w:sz w:val="22"/>
          <w:lang w:val="ro-RO"/>
        </w:rPr>
      </w:pPr>
      <w:r w:rsidRPr="007D7C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7D7C89" w:rsidRPr="007D7C89">
        <w:rPr>
          <w:rFonts w:ascii="Times New Roman" w:hAnsi="Times New Roman"/>
          <w:b/>
          <w:sz w:val="22"/>
          <w:lang w:val="ro-RO"/>
        </w:rPr>
        <w:t>1</w:t>
      </w:r>
      <w:r w:rsidR="007D7C89" w:rsidRPr="007D7C89">
        <w:rPr>
          <w:rFonts w:ascii="Times New Roman" w:hAnsi="Times New Roman"/>
          <w:sz w:val="22"/>
          <w:lang w:val="ro-RO"/>
        </w:rPr>
        <w:t xml:space="preserve"> cauză</w:t>
      </w:r>
      <w:r w:rsidRPr="007D7C89">
        <w:rPr>
          <w:rFonts w:ascii="Times New Roman" w:hAnsi="Times New Roman"/>
          <w:sz w:val="22"/>
          <w:lang w:val="ro-RO"/>
        </w:rPr>
        <w:t xml:space="preserve"> (</w:t>
      </w:r>
      <w:r w:rsidR="007D7C89">
        <w:rPr>
          <w:rFonts w:ascii="Times New Roman" w:hAnsi="Times New Roman"/>
          <w:sz w:val="22"/>
          <w:lang w:val="ro-RO"/>
        </w:rPr>
        <w:t>5</w:t>
      </w:r>
      <w:r w:rsidR="00F05268" w:rsidRPr="007D7C89">
        <w:rPr>
          <w:rFonts w:ascii="Times New Roman" w:hAnsi="Times New Roman"/>
          <w:sz w:val="22"/>
          <w:lang w:val="ro-RO"/>
        </w:rPr>
        <w:t>0</w:t>
      </w:r>
      <w:r w:rsidRPr="007D7C89">
        <w:rPr>
          <w:rFonts w:ascii="Times New Roman" w:hAnsi="Times New Roman"/>
          <w:sz w:val="22"/>
          <w:lang w:val="ro-RO"/>
        </w:rPr>
        <w:t xml:space="preserve"> %), </w:t>
      </w:r>
    </w:p>
    <w:p w:rsidR="00261561" w:rsidRPr="00C07989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="00F05268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7D7C89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%), </w:t>
      </w:r>
    </w:p>
    <w:p w:rsidR="002935E0" w:rsidRPr="00261561" w:rsidRDefault="002935E0" w:rsidP="00C07989">
      <w:pPr>
        <w:ind w:firstLine="0"/>
        <w:rPr>
          <w:rFonts w:cs="Times New Roman"/>
          <w:lang w:val="ro-RO"/>
        </w:rPr>
      </w:pPr>
      <w:r w:rsidRPr="00261561">
        <w:rPr>
          <w:rFonts w:cs="Times New Roman"/>
          <w:b/>
          <w:u w:val="single"/>
          <w:lang w:val="ro-RO"/>
        </w:rPr>
        <w:t xml:space="preserve">Judecătoria Comrat cu sediul în or. Ceadâr-Lunga </w:t>
      </w:r>
      <w:r w:rsidRPr="00261561">
        <w:rPr>
          <w:rFonts w:cs="Times New Roman"/>
          <w:lang w:val="ro-RO"/>
        </w:rPr>
        <w:t xml:space="preserve">– examinate – </w:t>
      </w:r>
      <w:r w:rsidR="007D7C89">
        <w:rPr>
          <w:rFonts w:cs="Times New Roman"/>
          <w:b/>
          <w:lang w:val="ro-RO"/>
        </w:rPr>
        <w:t>2</w:t>
      </w:r>
      <w:r w:rsidR="007D7C89">
        <w:rPr>
          <w:rFonts w:cs="Times New Roman"/>
          <w:lang w:val="ro-RO"/>
        </w:rPr>
        <w:t xml:space="preserve"> cauze</w:t>
      </w:r>
      <w:r w:rsidRPr="00261561">
        <w:rPr>
          <w:rFonts w:cs="Times New Roman"/>
          <w:lang w:val="ro-RO"/>
        </w:rPr>
        <w:t xml:space="preserve"> (Nr. persoane - </w:t>
      </w:r>
      <w:r w:rsidR="007D7C89">
        <w:rPr>
          <w:rFonts w:cs="Times New Roman"/>
          <w:b/>
          <w:lang w:val="ro-RO"/>
        </w:rPr>
        <w:t>2</w:t>
      </w:r>
      <w:r w:rsidRPr="00261561">
        <w:rPr>
          <w:rFonts w:cs="Times New Roman"/>
          <w:lang w:val="ro-RO"/>
        </w:rPr>
        <w:t xml:space="preserve"> ), </w:t>
      </w:r>
      <w:r w:rsidR="007D7C89" w:rsidRPr="00C07989">
        <w:rPr>
          <w:sz w:val="22"/>
          <w:lang w:val="ro-RO"/>
        </w:rPr>
        <w:t xml:space="preserve">cu </w:t>
      </w:r>
      <w:r w:rsidR="007D7C89">
        <w:rPr>
          <w:b/>
          <w:sz w:val="22"/>
          <w:lang w:val="ro-RO"/>
        </w:rPr>
        <w:t>1</w:t>
      </w:r>
      <w:r w:rsidR="007D7C89">
        <w:rPr>
          <w:sz w:val="22"/>
          <w:lang w:val="ro-RO"/>
        </w:rPr>
        <w:t xml:space="preserve"> cauză</w:t>
      </w:r>
      <w:r w:rsidR="007D7C89" w:rsidRPr="00C07989">
        <w:rPr>
          <w:sz w:val="22"/>
          <w:lang w:val="ro-RO"/>
        </w:rPr>
        <w:t xml:space="preserve"> mai </w:t>
      </w:r>
      <w:r w:rsidR="007D7C89">
        <w:rPr>
          <w:sz w:val="22"/>
          <w:lang w:val="ro-RO"/>
        </w:rPr>
        <w:t>mult</w:t>
      </w:r>
      <w:r w:rsidR="007D7C89" w:rsidRPr="00C07989">
        <w:rPr>
          <w:sz w:val="22"/>
          <w:lang w:val="ro-RO"/>
        </w:rPr>
        <w:t xml:space="preserve"> </w:t>
      </w:r>
      <w:r w:rsidRPr="00261561">
        <w:rPr>
          <w:rFonts w:cs="Times New Roman"/>
          <w:lang w:val="ro-RO"/>
        </w:rPr>
        <w:t xml:space="preserve">ca în aceeași perioadă a anului </w:t>
      </w:r>
      <w:r w:rsidR="0028196B">
        <w:rPr>
          <w:rFonts w:cs="Times New Roman"/>
          <w:lang w:val="ro-RO"/>
        </w:rPr>
        <w:t>2018</w:t>
      </w:r>
      <w:r w:rsidRPr="00261561">
        <w:rPr>
          <w:rFonts w:cs="Times New Roman"/>
          <w:lang w:val="ro-RO"/>
        </w:rPr>
        <w:t>,</w:t>
      </w:r>
      <w:r w:rsidR="007D7C89">
        <w:rPr>
          <w:rFonts w:cs="Times New Roman"/>
          <w:lang w:val="ro-RO"/>
        </w:rPr>
        <w:t xml:space="preserve"> </w:t>
      </w:r>
    </w:p>
    <w:p w:rsidR="00F05268" w:rsidRPr="00385E33" w:rsidRDefault="002935E0" w:rsidP="00385E33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="00F05268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7D7C89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="00F05268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7D7C89" w:rsidRPr="00C07989" w:rsidRDefault="007D7C89" w:rsidP="007D7C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1</w:t>
      </w:r>
      <w:r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%), </w:t>
      </w:r>
      <w:r>
        <w:rPr>
          <w:rFonts w:ascii="Times New Roman" w:hAnsi="Times New Roman"/>
          <w:sz w:val="22"/>
          <w:lang w:val="ro-RO"/>
        </w:rPr>
        <w:t>la fel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>
        <w:rPr>
          <w:rFonts w:ascii="Times New Roman" w:hAnsi="Times New Roman"/>
          <w:sz w:val="22"/>
          <w:lang w:val="ro-RO"/>
        </w:rPr>
        <w:t>2018.</w:t>
      </w:r>
    </w:p>
    <w:p w:rsidR="00365ADF" w:rsidRDefault="00365ADF" w:rsidP="00365ADF">
      <w:pPr>
        <w:ind w:firstLine="0"/>
        <w:rPr>
          <w:sz w:val="22"/>
          <w:lang w:val="ro-RO"/>
        </w:rPr>
      </w:pPr>
      <w:r w:rsidRPr="00261561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>Cimișlia</w:t>
      </w:r>
      <w:r w:rsidRPr="00261561">
        <w:rPr>
          <w:rFonts w:cs="Times New Roman"/>
          <w:b/>
          <w:u w:val="single"/>
          <w:lang w:val="ro-RO"/>
        </w:rPr>
        <w:t xml:space="preserve"> cu sediul </w:t>
      </w:r>
      <w:r>
        <w:rPr>
          <w:rFonts w:cs="Times New Roman"/>
          <w:b/>
          <w:u w:val="single"/>
          <w:lang w:val="ro-RO"/>
        </w:rPr>
        <w:t>Central</w:t>
      </w:r>
      <w:r w:rsidRPr="00261561">
        <w:rPr>
          <w:rFonts w:cs="Times New Roman"/>
          <w:b/>
          <w:u w:val="single"/>
          <w:lang w:val="ro-RO"/>
        </w:rPr>
        <w:t xml:space="preserve"> </w:t>
      </w:r>
      <w:r w:rsidRPr="00261561">
        <w:rPr>
          <w:rFonts w:cs="Times New Roman"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2</w:t>
      </w:r>
      <w:r>
        <w:rPr>
          <w:rFonts w:cs="Times New Roman"/>
          <w:lang w:val="ro-RO"/>
        </w:rPr>
        <w:t xml:space="preserve"> cauze</w:t>
      </w:r>
      <w:r w:rsidRPr="00261561">
        <w:rPr>
          <w:rFonts w:cs="Times New Roman"/>
          <w:lang w:val="ro-RO"/>
        </w:rPr>
        <w:t xml:space="preserve"> (Nr. persoane - </w:t>
      </w:r>
      <w:r>
        <w:rPr>
          <w:rFonts w:cs="Times New Roman"/>
          <w:b/>
          <w:lang w:val="ro-RO"/>
        </w:rPr>
        <w:t>2</w:t>
      </w:r>
      <w:r w:rsidRPr="00261561">
        <w:rPr>
          <w:rFonts w:cs="Times New Roman"/>
          <w:lang w:val="ro-RO"/>
        </w:rPr>
        <w:t xml:space="preserve"> ), </w:t>
      </w:r>
    </w:p>
    <w:p w:rsidR="00365ADF" w:rsidRPr="00365ADF" w:rsidRDefault="00365ADF" w:rsidP="00365ADF">
      <w:pPr>
        <w:pStyle w:val="ac"/>
        <w:numPr>
          <w:ilvl w:val="0"/>
          <w:numId w:val="11"/>
        </w:numPr>
        <w:rPr>
          <w:rFonts w:ascii="Times New Roman" w:hAnsi="Times New Roman"/>
          <w:sz w:val="22"/>
          <w:lang w:val="ro-RO"/>
        </w:rPr>
      </w:pPr>
      <w:r w:rsidRPr="00365ADF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365ADF">
        <w:rPr>
          <w:rFonts w:ascii="Times New Roman" w:hAnsi="Times New Roman"/>
          <w:b/>
          <w:sz w:val="22"/>
          <w:lang w:val="ro-RO"/>
        </w:rPr>
        <w:t>2</w:t>
      </w:r>
      <w:r w:rsidRPr="00365ADF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10</w:t>
      </w:r>
      <w:r w:rsidRPr="00365ADF">
        <w:rPr>
          <w:rFonts w:ascii="Times New Roman" w:hAnsi="Times New Roman"/>
          <w:sz w:val="22"/>
          <w:lang w:val="ro-RO"/>
        </w:rPr>
        <w:t>0</w:t>
      </w:r>
      <w:r>
        <w:rPr>
          <w:rFonts w:ascii="Times New Roman" w:hAnsi="Times New Roman"/>
          <w:sz w:val="22"/>
          <w:lang w:val="ro-RO"/>
        </w:rPr>
        <w:t xml:space="preserve"> %).</w:t>
      </w:r>
      <w:r w:rsidRPr="00365ADF">
        <w:rPr>
          <w:rFonts w:ascii="Times New Roman" w:hAnsi="Times New Roman"/>
          <w:sz w:val="22"/>
          <w:lang w:val="ro-RO"/>
        </w:rPr>
        <w:t xml:space="preserve"> </w:t>
      </w:r>
    </w:p>
    <w:p w:rsidR="00E16C08" w:rsidRDefault="00E16C08" w:rsidP="00365ADF">
      <w:pPr>
        <w:pStyle w:val="ac"/>
        <w:ind w:left="426" w:firstLine="0"/>
        <w:rPr>
          <w:rFonts w:ascii="Times New Roman" w:hAnsi="Times New Roman"/>
          <w:sz w:val="22"/>
          <w:lang w:val="ro-RO"/>
        </w:rPr>
      </w:pPr>
    </w:p>
    <w:p w:rsidR="00365ADF" w:rsidRDefault="00365ADF" w:rsidP="00365ADF">
      <w:pPr>
        <w:pStyle w:val="ac"/>
        <w:ind w:left="426" w:firstLine="0"/>
        <w:rPr>
          <w:rFonts w:ascii="Times New Roman" w:hAnsi="Times New Roman"/>
          <w:sz w:val="22"/>
          <w:lang w:val="ro-RO"/>
        </w:rPr>
      </w:pPr>
    </w:p>
    <w:p w:rsidR="00365ADF" w:rsidRDefault="00365ADF" w:rsidP="00365ADF">
      <w:pPr>
        <w:pStyle w:val="ac"/>
        <w:ind w:left="426" w:firstLine="0"/>
        <w:rPr>
          <w:rFonts w:ascii="Times New Roman" w:hAnsi="Times New Roman"/>
          <w:sz w:val="22"/>
          <w:lang w:val="ro-RO"/>
        </w:rPr>
      </w:pPr>
    </w:p>
    <w:p w:rsidR="00365ADF" w:rsidRPr="00365ADF" w:rsidRDefault="00365ADF" w:rsidP="00365ADF">
      <w:pPr>
        <w:pStyle w:val="ac"/>
        <w:ind w:left="426" w:firstLine="0"/>
        <w:rPr>
          <w:color w:val="FF0000"/>
          <w:sz w:val="22"/>
          <w:lang w:val="ro-RO"/>
        </w:rPr>
      </w:pPr>
    </w:p>
    <w:tbl>
      <w:tblPr>
        <w:tblW w:w="111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5"/>
        <w:gridCol w:w="783"/>
        <w:gridCol w:w="841"/>
        <w:gridCol w:w="1133"/>
        <w:gridCol w:w="578"/>
        <w:gridCol w:w="1126"/>
        <w:gridCol w:w="575"/>
        <w:gridCol w:w="1126"/>
        <w:gridCol w:w="717"/>
        <w:gridCol w:w="1126"/>
        <w:gridCol w:w="716"/>
        <w:gridCol w:w="993"/>
      </w:tblGrid>
      <w:tr w:rsidR="00AC1651" w:rsidRPr="00F3074A" w:rsidTr="00AC1651">
        <w:trPr>
          <w:trHeight w:val="1452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AC1651" w:rsidRPr="00AC1651" w:rsidTr="00AC1651">
        <w:trPr>
          <w:trHeight w:val="560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799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458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57,32%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12,45%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50,88%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49,12%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AC1651" w:rsidRPr="00AC1651" w:rsidTr="00AC1651">
        <w:trPr>
          <w:trHeight w:val="833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76,16%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6,09%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57,14%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42,86%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AC1651" w:rsidRPr="00AC1651" w:rsidTr="00AC1651">
        <w:trPr>
          <w:trHeight w:val="833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86,18%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13,21%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50,00%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50,00%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AC1651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AC1651" w:rsidRPr="00AC1651" w:rsidTr="00AC1651">
        <w:trPr>
          <w:trHeight w:val="833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1073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63,28%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11,49%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51,28%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48,72%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C1651" w:rsidRPr="00AC1651" w:rsidRDefault="00AC1651" w:rsidP="00AC16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AC165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0,00%</w:t>
            </w:r>
          </w:p>
        </w:tc>
      </w:tr>
    </w:tbl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59765E" w:rsidRPr="00815D79" w:rsidRDefault="0059765E" w:rsidP="00EA6CC8">
      <w:pPr>
        <w:ind w:firstLine="0"/>
        <w:rPr>
          <w:color w:val="FF0000"/>
          <w:sz w:val="22"/>
          <w:lang w:val="ro-RO"/>
        </w:rPr>
      </w:pPr>
    </w:p>
    <w:p w:rsidR="00A80F96" w:rsidRDefault="00AC1651" w:rsidP="00F72F68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23D5AAFB" wp14:editId="76CD079F">
            <wp:extent cx="6410325" cy="34956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15D79" w:rsidRDefault="00815D79" w:rsidP="00C000DE">
      <w:pPr>
        <w:ind w:firstLine="0"/>
        <w:rPr>
          <w:color w:val="FF0000"/>
          <w:sz w:val="22"/>
          <w:lang w:val="ro-RO"/>
        </w:rPr>
      </w:pPr>
    </w:p>
    <w:p w:rsidR="00815D79" w:rsidRPr="00B120AE" w:rsidRDefault="00815D79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E0137F">
      <w:pPr>
        <w:pStyle w:val="a5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</w:t>
      </w:r>
      <w:r w:rsidR="00957F9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a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FC5880">
        <w:rPr>
          <w:lang w:val="ro-RO"/>
        </w:rPr>
        <w:t>6 luni</w:t>
      </w:r>
      <w:r w:rsidR="00953F74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482228">
        <w:rPr>
          <w:lang w:val="ro-RO"/>
        </w:rPr>
        <w:t xml:space="preserve"> spre examinare la Curtea de Apel Cahul s-au aflat în procedură în total </w:t>
      </w:r>
      <w:r w:rsidR="00422B78">
        <w:rPr>
          <w:b/>
          <w:lang w:val="ro-RO"/>
        </w:rPr>
        <w:t>407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instanţă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422B78">
        <w:rPr>
          <w:b/>
          <w:i/>
          <w:lang w:val="ro-RO"/>
        </w:rPr>
        <w:t>163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422B78">
        <w:rPr>
          <w:b/>
          <w:i/>
          <w:lang w:val="ro-RO"/>
        </w:rPr>
        <w:t>26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apel cu indicele 3a - </w:t>
      </w:r>
      <w:r w:rsidR="00422B78">
        <w:rPr>
          <w:b/>
          <w:i/>
          <w:lang w:val="ro-RO"/>
        </w:rPr>
        <w:t>48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422B78">
        <w:rPr>
          <w:i/>
          <w:lang w:val="ro-RO"/>
        </w:rPr>
        <w:t xml:space="preserve"> </w:t>
      </w:r>
      <w:r w:rsidR="00422B78">
        <w:rPr>
          <w:b/>
          <w:i/>
          <w:lang w:val="ro-RO"/>
        </w:rPr>
        <w:t>113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422B78">
        <w:rPr>
          <w:b/>
          <w:i/>
          <w:lang w:val="ro-RO"/>
        </w:rPr>
        <w:t>30</w:t>
      </w:r>
      <w:r w:rsidRPr="00482228">
        <w:rPr>
          <w:i/>
          <w:lang w:val="ro-RO"/>
        </w:rPr>
        <w:t xml:space="preserve"> </w:t>
      </w:r>
    </w:p>
    <w:p w:rsidR="00422B7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422B78">
        <w:rPr>
          <w:b/>
          <w:i/>
          <w:lang w:val="ro-RO"/>
        </w:rPr>
        <w:t>8</w:t>
      </w:r>
      <w:r w:rsidRPr="00482228">
        <w:rPr>
          <w:i/>
          <w:lang w:val="ro-RO"/>
        </w:rPr>
        <w:t xml:space="preserve"> </w:t>
      </w:r>
    </w:p>
    <w:p w:rsidR="001425A8" w:rsidRPr="00482228" w:rsidRDefault="00422B78" w:rsidP="001425A8">
      <w:pPr>
        <w:ind w:right="-1"/>
        <w:rPr>
          <w:i/>
          <w:lang w:val="ro-RO"/>
        </w:rPr>
      </w:pPr>
      <w:r>
        <w:rPr>
          <w:i/>
          <w:lang w:val="ro-RO"/>
        </w:rPr>
        <w:t xml:space="preserve">cauze de </w:t>
      </w:r>
      <w:r w:rsidRPr="00482228">
        <w:rPr>
          <w:i/>
          <w:lang w:val="ro-RO"/>
        </w:rPr>
        <w:t>contencios administrativ</w:t>
      </w:r>
      <w:r>
        <w:rPr>
          <w:i/>
          <w:lang w:val="ro-RO"/>
        </w:rPr>
        <w:t xml:space="preserve"> 3 - </w:t>
      </w:r>
      <w:r w:rsidRPr="00422B78">
        <w:rPr>
          <w:b/>
          <w:i/>
          <w:lang w:val="ro-RO"/>
        </w:rPr>
        <w:t>15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422B78">
        <w:rPr>
          <w:b/>
          <w:i/>
          <w:lang w:val="ro-RO"/>
        </w:rPr>
        <w:t>4</w:t>
      </w:r>
    </w:p>
    <w:p w:rsidR="002462F3" w:rsidRDefault="00885E91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</w:t>
      </w:r>
      <w:r w:rsidR="002462F3">
        <w:rPr>
          <w:i/>
          <w:lang w:val="ro-RO"/>
        </w:rPr>
        <w:t>–</w:t>
      </w:r>
      <w:r w:rsidR="001425A8" w:rsidRPr="00482228">
        <w:rPr>
          <w:i/>
          <w:lang w:val="ro-RO"/>
        </w:rPr>
        <w:t xml:space="preserve"> </w:t>
      </w:r>
      <w:r w:rsidR="00953F74">
        <w:rPr>
          <w:b/>
          <w:i/>
          <w:lang w:val="ro-RO"/>
        </w:rPr>
        <w:t>0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CA34B9">
        <w:rPr>
          <w:b/>
          <w:i/>
          <w:lang w:val="ro-RO"/>
        </w:rPr>
        <w:t>0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 xml:space="preserve">Din 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CA34B9">
        <w:rPr>
          <w:b/>
          <w:lang w:val="ro-RO"/>
        </w:rPr>
        <w:t>101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422B78">
        <w:rPr>
          <w:b/>
          <w:lang w:val="ro-RO"/>
        </w:rPr>
        <w:t>306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422B78">
        <w:rPr>
          <w:b/>
          <w:lang w:val="ro-RO"/>
        </w:rPr>
        <w:t>298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CA34B9">
        <w:rPr>
          <w:i/>
          <w:lang w:val="ro-RO"/>
        </w:rPr>
        <w:t>16</w:t>
      </w:r>
      <w:r w:rsidR="00AB5D13" w:rsidRPr="00AD2D34">
        <w:rPr>
          <w:i/>
          <w:lang w:val="ro-RO"/>
        </w:rPr>
        <w:t xml:space="preserve"> cauze, strămutate la CSJ -</w:t>
      </w:r>
      <w:r w:rsidR="00CA34B9">
        <w:rPr>
          <w:i/>
          <w:lang w:val="ro-RO"/>
        </w:rPr>
        <w:t>3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 xml:space="preserve">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pendinte la sfâ</w:t>
      </w:r>
      <w:r w:rsidR="00C44B69" w:rsidRPr="00AD2D34">
        <w:rPr>
          <w:lang w:val="ro-RO"/>
        </w:rPr>
        <w:t xml:space="preserve">rșitul perioadei raportate constituie </w:t>
      </w:r>
      <w:r w:rsidR="00422B78">
        <w:rPr>
          <w:b/>
          <w:lang w:val="ro-RO"/>
        </w:rPr>
        <w:t>109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422B78">
        <w:rPr>
          <w:rFonts w:ascii="Times New Roman" w:hAnsi="Times New Roman"/>
          <w:b/>
          <w:sz w:val="24"/>
          <w:szCs w:val="24"/>
          <w:lang w:val="ro-RO"/>
        </w:rPr>
        <w:t>97,39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F19D4" w:rsidRPr="009D5FF8" w:rsidRDefault="00CF19D4" w:rsidP="00CF19D4">
      <w:pPr>
        <w:ind w:right="-1"/>
        <w:rPr>
          <w:color w:val="FF0000"/>
          <w:lang w:val="ro-RO"/>
        </w:rPr>
      </w:pPr>
      <w:r w:rsidRPr="006765F1">
        <w:rPr>
          <w:b/>
          <w:lang w:val="ro-RO"/>
        </w:rPr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350D54">
        <w:rPr>
          <w:b/>
          <w:lang w:val="ro-RO"/>
        </w:rPr>
        <w:t>66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</w:t>
      </w:r>
    </w:p>
    <w:p w:rsidR="009D5FF8" w:rsidRDefault="00CA4DE3" w:rsidP="00CC3CBF">
      <w:pPr>
        <w:ind w:right="-1"/>
        <w:rPr>
          <w:lang w:val="ro-RO"/>
        </w:rPr>
      </w:pPr>
      <w:r w:rsidRPr="006765F1">
        <w:rPr>
          <w:lang w:val="ro-RO"/>
        </w:rPr>
        <w:t xml:space="preserve">Numărul de cauze </w:t>
      </w:r>
      <w:r w:rsidR="00CB75BE">
        <w:rPr>
          <w:lang w:val="ro-RO"/>
        </w:rPr>
        <w:t>civile</w:t>
      </w:r>
      <w:r w:rsidRPr="006765F1">
        <w:rPr>
          <w:lang w:val="ro-RO"/>
        </w:rPr>
        <w:t xml:space="preserve"> examinate de un judecător în mediu constituie </w:t>
      </w:r>
      <w:r w:rsidR="00350D54">
        <w:rPr>
          <w:b/>
          <w:lang w:val="ro-RO"/>
        </w:rPr>
        <w:t>33</w:t>
      </w:r>
      <w:r w:rsidRPr="00607193">
        <w:rPr>
          <w:b/>
          <w:lang w:val="ro-RO"/>
        </w:rPr>
        <w:t xml:space="preserve"> </w:t>
      </w:r>
      <w:r w:rsidR="00924338" w:rsidRPr="00607193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  <w:r w:rsidR="009D5FF8">
        <w:rPr>
          <w:b/>
          <w:lang w:val="ro-RO"/>
        </w:rPr>
        <w:t xml:space="preserve"> </w:t>
      </w:r>
    </w:p>
    <w:p w:rsidR="00CC3CBF" w:rsidRPr="00DC21CC" w:rsidRDefault="00CC3CBF" w:rsidP="00CC3CBF">
      <w:pPr>
        <w:ind w:right="-1"/>
        <w:rPr>
          <w:b/>
          <w:lang w:val="ro-RO"/>
        </w:rPr>
      </w:pPr>
    </w:p>
    <w:p w:rsidR="00417769" w:rsidRPr="00B120AE" w:rsidRDefault="00417769" w:rsidP="006B3B04">
      <w:pPr>
        <w:ind w:right="-1" w:firstLine="0"/>
        <w:rPr>
          <w:color w:val="FF0000"/>
          <w:lang w:val="ro-RO"/>
        </w:rPr>
      </w:pPr>
    </w:p>
    <w:p w:rsidR="00CF19D4" w:rsidRPr="00AD2D3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comparative în diagramă</w:t>
      </w:r>
    </w:p>
    <w:p w:rsidR="00C44B69" w:rsidRDefault="00C44B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22B78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D857D14" wp14:editId="564F2C6E">
            <wp:extent cx="5637437" cy="3099467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7D1037" w:rsidP="006B3B04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350D54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596697E" wp14:editId="417DB389">
            <wp:extent cx="6458733" cy="3327226"/>
            <wp:effectExtent l="0" t="0" r="18415" b="698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E49CC" w:rsidRPr="00B120AE" w:rsidRDefault="004E49CC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21531" w:rsidRPr="00AA2548" w:rsidRDefault="00350D54" w:rsidP="00AA2548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5E2D5BC" wp14:editId="3EED15C5">
            <wp:extent cx="5545377" cy="3209795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21531" w:rsidRDefault="00621531" w:rsidP="00E00096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Pr="002F58C6" w:rsidRDefault="0070052E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civile 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70052E" w:rsidRPr="00CC6E32" w:rsidRDefault="0070052E" w:rsidP="0070052E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D2A40">
        <w:rPr>
          <w:rFonts w:ascii="Times New Roman" w:hAnsi="Times New Roman"/>
          <w:b/>
          <w:sz w:val="24"/>
          <w:szCs w:val="24"/>
          <w:lang w:val="ro-RO"/>
        </w:rPr>
        <w:t xml:space="preserve">2a, 2r, 2rh, </w:t>
      </w:r>
      <w:r>
        <w:rPr>
          <w:rFonts w:ascii="Times New Roman" w:hAnsi="Times New Roman"/>
          <w:b/>
          <w:sz w:val="24"/>
          <w:szCs w:val="24"/>
          <w:lang w:val="ro-RO"/>
        </w:rPr>
        <w:t>24r )</w:t>
      </w:r>
    </w:p>
    <w:p w:rsidR="0070052E" w:rsidRPr="00885E91" w:rsidRDefault="0070052E" w:rsidP="0070052E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FC5880">
        <w:rPr>
          <w:lang w:val="ro-RO"/>
        </w:rPr>
        <w:t>6 luni</w:t>
      </w:r>
      <w:r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885E91">
        <w:rPr>
          <w:lang w:val="ro-RO"/>
        </w:rPr>
        <w:t xml:space="preserve"> la Curtea de Apel Cahul s-au aflat în procedură </w:t>
      </w:r>
      <w:r w:rsidR="00336733" w:rsidRPr="00482228">
        <w:rPr>
          <w:lang w:val="ro-RO"/>
        </w:rPr>
        <w:t>în total</w:t>
      </w:r>
      <w:r w:rsidR="00336733">
        <w:rPr>
          <w:b/>
          <w:lang w:val="ro-RO"/>
        </w:rPr>
        <w:t xml:space="preserve"> </w:t>
      </w:r>
      <w:r w:rsidR="006431CF">
        <w:rPr>
          <w:b/>
          <w:lang w:val="ro-RO"/>
        </w:rPr>
        <w:t>280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>cauze</w:t>
      </w:r>
      <w:r w:rsidR="00336733">
        <w:rPr>
          <w:lang w:val="ro-RO"/>
        </w:rPr>
        <w:t xml:space="preserve"> civile, dintre care: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6431CF">
        <w:rPr>
          <w:b/>
          <w:i/>
          <w:lang w:val="ro-RO"/>
        </w:rPr>
        <w:t>163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6431CF">
        <w:rPr>
          <w:b/>
          <w:i/>
          <w:lang w:val="ro-RO"/>
        </w:rPr>
        <w:t>113</w:t>
      </w:r>
    </w:p>
    <w:p w:rsidR="009D2A40" w:rsidRPr="00482228" w:rsidRDefault="009D2A40" w:rsidP="009D2A40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482228">
        <w:rPr>
          <w:i/>
          <w:lang w:val="ro-RO"/>
        </w:rPr>
        <w:t xml:space="preserve">rilor pe cauze civile cu indicele 2rh – </w:t>
      </w:r>
      <w:r w:rsidR="006431CF">
        <w:rPr>
          <w:b/>
          <w:i/>
          <w:lang w:val="ro-RO"/>
        </w:rPr>
        <w:t>4</w:t>
      </w:r>
    </w:p>
    <w:p w:rsidR="0070052E" w:rsidRPr="00885E91" w:rsidRDefault="0070052E" w:rsidP="0070052E">
      <w:pPr>
        <w:ind w:right="-1"/>
        <w:rPr>
          <w:lang w:val="ro-RO"/>
        </w:rPr>
      </w:pPr>
      <w:r>
        <w:rPr>
          <w:i/>
          <w:szCs w:val="24"/>
          <w:lang w:val="ro-RO"/>
        </w:rPr>
        <w:t>cauze</w:t>
      </w:r>
      <w:r w:rsidRPr="0070052E">
        <w:rPr>
          <w:i/>
          <w:szCs w:val="24"/>
          <w:lang w:val="ro-RO"/>
        </w:rPr>
        <w:t xml:space="preserve"> civile </w:t>
      </w:r>
      <w:r w:rsidRPr="00CD6E75">
        <w:rPr>
          <w:i/>
          <w:szCs w:val="24"/>
          <w:lang w:val="ro-RO"/>
        </w:rPr>
        <w:t>privind</w:t>
      </w:r>
      <w:r w:rsidRPr="0070052E">
        <w:rPr>
          <w:i/>
          <w:szCs w:val="24"/>
          <w:lang w:val="ro-RO"/>
        </w:rPr>
        <w:t xml:space="preserve"> conflict de competență</w:t>
      </w:r>
      <w:r w:rsidRPr="00335A8B">
        <w:rPr>
          <w:b/>
          <w:szCs w:val="24"/>
          <w:lang w:val="ro-RO"/>
        </w:rPr>
        <w:t xml:space="preserve"> </w:t>
      </w:r>
      <w:r>
        <w:rPr>
          <w:i/>
          <w:lang w:val="ro-RO"/>
        </w:rPr>
        <w:t>24r</w:t>
      </w:r>
      <w:r w:rsidRPr="00885E91">
        <w:rPr>
          <w:i/>
          <w:lang w:val="ro-RO"/>
        </w:rPr>
        <w:t xml:space="preserve"> – </w:t>
      </w:r>
      <w:r w:rsidR="00AA2548">
        <w:rPr>
          <w:b/>
          <w:i/>
          <w:lang w:val="ro-RO"/>
        </w:rPr>
        <w:t>0</w:t>
      </w:r>
      <w:r w:rsidRPr="00885E91">
        <w:rPr>
          <w:i/>
          <w:lang w:val="ro-RO"/>
        </w:rPr>
        <w:t xml:space="preserve"> </w:t>
      </w:r>
    </w:p>
    <w:p w:rsidR="0070052E" w:rsidRPr="00885E91" w:rsidRDefault="00AA2548" w:rsidP="0070052E">
      <w:pPr>
        <w:rPr>
          <w:lang w:val="ro-RO"/>
        </w:rPr>
      </w:pPr>
      <w:r>
        <w:rPr>
          <w:b/>
          <w:lang w:val="ro-RO"/>
        </w:rPr>
        <w:t>70</w:t>
      </w:r>
      <w:r w:rsidR="0070052E" w:rsidRPr="00885E91">
        <w:rPr>
          <w:b/>
          <w:lang w:val="ro-RO"/>
        </w:rPr>
        <w:t xml:space="preserve"> cauze pendinte</w:t>
      </w:r>
      <w:r w:rsidR="0070052E" w:rsidRPr="00885E91">
        <w:rPr>
          <w:lang w:val="ro-RO"/>
        </w:rPr>
        <w:t xml:space="preserve"> la începutul perioadei raportate, </w:t>
      </w:r>
      <w:r w:rsidR="006431CF">
        <w:rPr>
          <w:b/>
          <w:lang w:val="ro-RO"/>
        </w:rPr>
        <w:t>210</w:t>
      </w:r>
      <w:r w:rsidR="0070052E">
        <w:rPr>
          <w:b/>
          <w:lang w:val="ro-RO"/>
        </w:rPr>
        <w:t xml:space="preserve"> cauze</w:t>
      </w:r>
      <w:r w:rsidR="0070052E" w:rsidRPr="00885E91">
        <w:rPr>
          <w:lang w:val="ro-RO"/>
        </w:rPr>
        <w:t xml:space="preserve"> </w:t>
      </w:r>
      <w:r w:rsidR="0070052E" w:rsidRPr="00885E91">
        <w:rPr>
          <w:b/>
          <w:lang w:val="ro-RO"/>
        </w:rPr>
        <w:t>noi înregistrate</w:t>
      </w:r>
      <w:r w:rsidR="0070052E" w:rsidRPr="00885E91">
        <w:rPr>
          <w:lang w:val="ro-RO"/>
        </w:rPr>
        <w:t>.</w:t>
      </w:r>
    </w:p>
    <w:p w:rsidR="0070052E" w:rsidRPr="009D5FF8" w:rsidRDefault="008D5424" w:rsidP="0070052E">
      <w:pPr>
        <w:rPr>
          <w:lang w:val="ro-RO"/>
        </w:rPr>
      </w:pPr>
      <w:r w:rsidRPr="00626BDF">
        <w:rPr>
          <w:lang w:val="ro-RO"/>
        </w:rPr>
        <w:t xml:space="preserve">Din totalul </w:t>
      </w:r>
      <w:r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Pr="00885E91">
        <w:rPr>
          <w:rFonts w:cs="Times New Roman"/>
          <w:lang w:val="ro-RO"/>
        </w:rPr>
        <w:t xml:space="preserve"> </w:t>
      </w:r>
      <w:r>
        <w:rPr>
          <w:rFonts w:cs="Times New Roman"/>
          <w:lang w:val="ro-RO"/>
        </w:rPr>
        <w:t xml:space="preserve">- </w:t>
      </w:r>
      <w:r w:rsidR="006431CF">
        <w:rPr>
          <w:rFonts w:cs="Times New Roman"/>
          <w:b/>
          <w:lang w:val="ro-RO"/>
        </w:rPr>
        <w:t>205</w:t>
      </w:r>
      <w:r w:rsidR="0070052E" w:rsidRPr="00885E91">
        <w:rPr>
          <w:rFonts w:cs="Times New Roman"/>
          <w:lang w:val="ro-RO"/>
        </w:rPr>
        <w:t xml:space="preserve"> </w:t>
      </w:r>
      <w:r w:rsidR="0070052E" w:rsidRPr="00885E91">
        <w:rPr>
          <w:rFonts w:cs="Times New Roman"/>
          <w:b/>
          <w:lang w:val="ro-RO"/>
        </w:rPr>
        <w:t>cauze</w:t>
      </w:r>
      <w:r w:rsidR="0070052E">
        <w:rPr>
          <w:rFonts w:cs="Times New Roman"/>
          <w:lang w:val="ro-RO"/>
        </w:rPr>
        <w:t xml:space="preserve">, </w:t>
      </w:r>
      <w:r w:rsidR="0070052E" w:rsidRPr="00AD2D34">
        <w:rPr>
          <w:i/>
          <w:lang w:val="ro-RO"/>
        </w:rPr>
        <w:t xml:space="preserve">din care fără soluționare în fond </w:t>
      </w:r>
      <w:r w:rsidR="006431CF">
        <w:rPr>
          <w:i/>
          <w:lang w:val="ro-RO"/>
        </w:rPr>
        <w:t>33</w:t>
      </w:r>
      <w:r w:rsidR="0070052E" w:rsidRPr="00AD2D34">
        <w:rPr>
          <w:i/>
          <w:lang w:val="ro-RO"/>
        </w:rPr>
        <w:t xml:space="preserve"> cauze, strămutate la CSJ -</w:t>
      </w:r>
      <w:r w:rsidR="002016A3">
        <w:rPr>
          <w:i/>
          <w:lang w:val="ro-RO"/>
        </w:rPr>
        <w:t xml:space="preserve"> </w:t>
      </w:r>
      <w:r w:rsidR="006431CF">
        <w:rPr>
          <w:i/>
          <w:lang w:val="ro-RO"/>
        </w:rPr>
        <w:t>5</w:t>
      </w:r>
      <w:r w:rsidR="0070052E" w:rsidRPr="00AD2D34">
        <w:rPr>
          <w:i/>
          <w:lang w:val="ro-RO"/>
        </w:rPr>
        <w:t xml:space="preserve"> cauze.</w:t>
      </w:r>
      <w:r w:rsidRPr="008D5424">
        <w:rPr>
          <w:lang w:val="ro-RO"/>
        </w:rPr>
        <w:t xml:space="preserve"> </w:t>
      </w:r>
    </w:p>
    <w:p w:rsidR="0070052E" w:rsidRPr="00885E91" w:rsidRDefault="0070052E" w:rsidP="0070052E">
      <w:pPr>
        <w:rPr>
          <w:b/>
          <w:lang w:val="ro-RO"/>
        </w:rPr>
      </w:pPr>
      <w:r w:rsidRPr="00885E91">
        <w:rPr>
          <w:lang w:val="ro-RO"/>
        </w:rPr>
        <w:t xml:space="preserve">Restanța </w:t>
      </w:r>
      <w:r>
        <w:rPr>
          <w:lang w:val="ro-RO"/>
        </w:rPr>
        <w:t>la sfâ</w:t>
      </w:r>
      <w:r w:rsidRPr="00885E91">
        <w:rPr>
          <w:lang w:val="ro-RO"/>
        </w:rPr>
        <w:t xml:space="preserve">rșitul perioadei raportate constituie – </w:t>
      </w:r>
      <w:r w:rsidR="006431CF">
        <w:rPr>
          <w:b/>
          <w:lang w:val="ro-RO"/>
        </w:rPr>
        <w:t>75</w:t>
      </w:r>
      <w:r w:rsidRPr="00885E91">
        <w:rPr>
          <w:lang w:val="ro-RO"/>
        </w:rPr>
        <w:t xml:space="preserve"> </w:t>
      </w:r>
      <w:r w:rsidRPr="00885E91">
        <w:rPr>
          <w:b/>
          <w:lang w:val="ro-RO"/>
        </w:rPr>
        <w:t>cauze.</w:t>
      </w:r>
    </w:p>
    <w:p w:rsidR="0070052E" w:rsidRPr="008E4EC6" w:rsidRDefault="0070052E" w:rsidP="008E4EC6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E4EC6">
        <w:rPr>
          <w:rFonts w:ascii="Times New Roman" w:hAnsi="Times New Roman"/>
          <w:b/>
          <w:sz w:val="24"/>
          <w:szCs w:val="24"/>
          <w:lang w:val="ro-RO"/>
        </w:rPr>
        <w:t>Rata de variație a stocului cauzelor civile, pendinte</w:t>
      </w:r>
      <w:r w:rsidRPr="008E4EC6">
        <w:rPr>
          <w:rFonts w:ascii="Times New Roman" w:hAnsi="Times New Roman"/>
          <w:sz w:val="24"/>
          <w:szCs w:val="24"/>
          <w:lang w:val="ro-RO"/>
        </w:rPr>
        <w:t xml:space="preserve"> (raportul dintre cauzele soluționate în perioada raportată și cele noi înregistrate în perioada raportată, exprimat în procente)  constituie </w:t>
      </w:r>
      <w:r w:rsidR="006431CF">
        <w:rPr>
          <w:rFonts w:ascii="Times New Roman" w:hAnsi="Times New Roman"/>
          <w:b/>
          <w:sz w:val="24"/>
          <w:szCs w:val="24"/>
          <w:lang w:val="ro-RO"/>
        </w:rPr>
        <w:t>97,62</w:t>
      </w:r>
      <w:r w:rsidRPr="008E4EC6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26BDF">
        <w:rPr>
          <w:b/>
          <w:lang w:val="ro-RO"/>
        </w:rPr>
        <w:t xml:space="preserve"> </w:t>
      </w:r>
    </w:p>
    <w:p w:rsidR="00CD6E75" w:rsidRDefault="0070052E" w:rsidP="0070052E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="00336733">
        <w:rPr>
          <w:b/>
          <w:szCs w:val="24"/>
          <w:lang w:val="ro-RO"/>
        </w:rPr>
        <w:t xml:space="preserve">cauzelor civile </w:t>
      </w:r>
      <w:r w:rsidRPr="00626BDF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6431CF">
        <w:rPr>
          <w:b/>
          <w:lang w:val="ro-RO"/>
        </w:rPr>
        <w:t>66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</w:t>
      </w:r>
    </w:p>
    <w:p w:rsidR="00E00096" w:rsidRPr="00607193" w:rsidRDefault="00E00096" w:rsidP="00E00096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8D5424">
        <w:rPr>
          <w:szCs w:val="24"/>
          <w:lang w:val="ro-RO"/>
        </w:rPr>
        <w:t>civile</w:t>
      </w:r>
      <w:r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 xml:space="preserve">examinate de un judecător în mediu constituie </w:t>
      </w:r>
      <w:r w:rsidR="00F724AD">
        <w:rPr>
          <w:b/>
          <w:lang w:val="ro-RO"/>
        </w:rPr>
        <w:t>23</w:t>
      </w:r>
      <w:r w:rsidRPr="00607193">
        <w:rPr>
          <w:b/>
          <w:lang w:val="ro-RO"/>
        </w:rPr>
        <w:t xml:space="preserve"> cauze.</w:t>
      </w: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74100" w:rsidRDefault="00774100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74100" w:rsidRDefault="00774100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74100" w:rsidRDefault="00774100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74100" w:rsidRDefault="00774100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684A25" w:rsidRDefault="00684A25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E00096" w:rsidRDefault="0070052E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336733">
        <w:rPr>
          <w:rFonts w:ascii="Times New Roman" w:hAnsi="Times New Roman"/>
          <w:i/>
          <w:sz w:val="24"/>
          <w:szCs w:val="24"/>
          <w:lang w:val="ro-RO"/>
        </w:rPr>
        <w:t>civile</w:t>
      </w:r>
      <w:r w:rsidR="00121F44" w:rsidRPr="00A8046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A80462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E00096" w:rsidRDefault="00E00096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Default="006431CF" w:rsidP="00621531">
      <w:pPr>
        <w:pStyle w:val="a5"/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02E2522" wp14:editId="60AB8016">
            <wp:extent cx="5637437" cy="3099466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21F44" w:rsidRDefault="00121F44" w:rsidP="00CD6E75">
      <w:pPr>
        <w:pStyle w:val="a5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Default="00121F44" w:rsidP="0070052E">
      <w:pPr>
        <w:pStyle w:val="a5"/>
        <w:ind w:firstLine="720"/>
        <w:jc w:val="center"/>
        <w:rPr>
          <w:noProof/>
          <w:lang w:val="en-US"/>
        </w:rPr>
      </w:pPr>
      <w:r w:rsidRPr="0083048B">
        <w:rPr>
          <w:noProof/>
          <w:lang w:val="en-US"/>
        </w:rPr>
        <w:t xml:space="preserve"> </w:t>
      </w:r>
      <w:r w:rsidR="00F724AD">
        <w:rPr>
          <w:noProof/>
        </w:rPr>
        <w:drawing>
          <wp:inline distT="0" distB="0" distL="0" distR="0" wp14:anchorId="360C4940" wp14:editId="3F7C228C">
            <wp:extent cx="6458733" cy="3053219"/>
            <wp:effectExtent l="0" t="0" r="1841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31419" w:rsidRPr="00A80462" w:rsidRDefault="00F724AD" w:rsidP="0070052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45BF402" wp14:editId="59326468">
            <wp:extent cx="5545377" cy="3209795"/>
            <wp:effectExtent l="0" t="0" r="17780" b="1016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052E" w:rsidRDefault="0070052E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FF4DC8" w:rsidRPr="000F148E" w:rsidRDefault="00FF4DC8" w:rsidP="00FF4DC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F148E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0F148E">
        <w:rPr>
          <w:b/>
          <w:sz w:val="24"/>
          <w:szCs w:val="24"/>
          <w:lang w:val="ro-RO"/>
        </w:rPr>
        <w:t xml:space="preserve"> </w:t>
      </w:r>
      <w:r w:rsidR="008D5424" w:rsidRPr="000F148E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0F148E">
        <w:rPr>
          <w:rFonts w:ascii="Times New Roman" w:hAnsi="Times New Roman"/>
          <w:b/>
          <w:sz w:val="24"/>
          <w:szCs w:val="24"/>
          <w:lang w:val="ro-RO"/>
        </w:rPr>
        <w:t xml:space="preserve"> civile examinate în ordine de apel cu in</w:t>
      </w:r>
      <w:r w:rsidR="0020173D" w:rsidRPr="000F148E">
        <w:rPr>
          <w:rFonts w:ascii="Times New Roman" w:hAnsi="Times New Roman"/>
          <w:b/>
          <w:sz w:val="24"/>
          <w:szCs w:val="24"/>
          <w:lang w:val="ro-RO"/>
        </w:rPr>
        <w:t>dicele (2a, 2r, 2rh, 24r</w:t>
      </w:r>
      <w:r w:rsidRPr="000F148E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FF4DC8" w:rsidRPr="00F724AD" w:rsidRDefault="00FF4DC8" w:rsidP="00FF4DC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621531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55074">
        <w:rPr>
          <w:rFonts w:ascii="Times New Roman" w:hAnsi="Times New Roman"/>
          <w:b/>
          <w:sz w:val="24"/>
          <w:szCs w:val="24"/>
          <w:lang w:val="ro-RO"/>
        </w:rPr>
        <w:t>119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 w:rsidR="00B1729C">
        <w:rPr>
          <w:rFonts w:ascii="Times New Roman" w:hAnsi="Times New Roman"/>
          <w:b/>
          <w:lang w:val="ro-RO"/>
        </w:rPr>
        <w:t>3</w:t>
      </w:r>
      <w:r w:rsidRPr="002843F4">
        <w:rPr>
          <w:rFonts w:ascii="Times New Roman" w:hAnsi="Times New Roman"/>
          <w:lang w:val="ro-RO"/>
        </w:rPr>
        <w:t xml:space="preserve"> cauze mai </w:t>
      </w:r>
      <w:r w:rsidR="00B1729C">
        <w:rPr>
          <w:rFonts w:ascii="Times New Roman" w:hAnsi="Times New Roman"/>
          <w:lang w:val="ro-RO"/>
        </w:rPr>
        <w:t>puțin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2843F4"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 w:rsidR="00455074">
        <w:rPr>
          <w:rFonts w:ascii="Times New Roman" w:hAnsi="Times New Roman"/>
          <w:b/>
          <w:lang w:val="ro-RO"/>
        </w:rPr>
        <w:t>56</w:t>
      </w:r>
      <w:r w:rsidRPr="002843F4">
        <w:rPr>
          <w:rFonts w:ascii="Times New Roman" w:hAnsi="Times New Roman"/>
          <w:lang w:val="ro-RO"/>
        </w:rPr>
        <w:t xml:space="preserve"> cauze (</w:t>
      </w:r>
      <w:r w:rsidR="004823F8">
        <w:rPr>
          <w:rFonts w:ascii="Times New Roman" w:hAnsi="Times New Roman"/>
          <w:lang w:val="ro-RO"/>
        </w:rPr>
        <w:t>47,06</w:t>
      </w:r>
      <w:r w:rsidRPr="002843F4">
        <w:rPr>
          <w:rFonts w:ascii="Times New Roman" w:hAnsi="Times New Roman"/>
          <w:lang w:val="ro-RO"/>
        </w:rPr>
        <w:t xml:space="preserve">%), cu  </w:t>
      </w:r>
      <w:r w:rsidR="00455074">
        <w:rPr>
          <w:rFonts w:ascii="Times New Roman" w:hAnsi="Times New Roman"/>
          <w:b/>
          <w:lang w:val="ro-RO"/>
        </w:rPr>
        <w:t>9</w:t>
      </w:r>
      <w:r w:rsidRPr="002843F4">
        <w:rPr>
          <w:rFonts w:ascii="Times New Roman" w:hAnsi="Times New Roman"/>
          <w:lang w:val="ro-RO"/>
        </w:rPr>
        <w:t xml:space="preserve"> cauze mai </w:t>
      </w:r>
      <w:r w:rsidR="00B1729C">
        <w:rPr>
          <w:rFonts w:ascii="Times New Roman" w:hAnsi="Times New Roman"/>
          <w:lang w:val="ro-RO"/>
        </w:rPr>
        <w:t>puțin</w:t>
      </w:r>
      <w:r w:rsidR="00B1729C" w:rsidRPr="002843F4">
        <w:rPr>
          <w:rFonts w:ascii="Times New Roman" w:hAnsi="Times New Roman"/>
          <w:lang w:val="ro-RO"/>
        </w:rPr>
        <w:t xml:space="preserve"> </w:t>
      </w:r>
      <w:r w:rsidRPr="002843F4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 w:rsidR="00455074">
        <w:rPr>
          <w:rFonts w:ascii="Times New Roman" w:hAnsi="Times New Roman"/>
          <w:b/>
          <w:lang w:val="ro-RO"/>
        </w:rPr>
        <w:t>63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4823F8">
        <w:rPr>
          <w:rFonts w:ascii="Times New Roman" w:hAnsi="Times New Roman"/>
          <w:lang w:val="ro-RO"/>
        </w:rPr>
        <w:t>52,94</w:t>
      </w:r>
      <w:r w:rsidRPr="004C7FB3">
        <w:rPr>
          <w:rFonts w:ascii="Times New Roman" w:hAnsi="Times New Roman"/>
          <w:lang w:val="ro-RO"/>
        </w:rPr>
        <w:t xml:space="preserve"> %), cu </w:t>
      </w:r>
      <w:r w:rsidR="004823F8">
        <w:rPr>
          <w:rFonts w:ascii="Times New Roman" w:hAnsi="Times New Roman"/>
          <w:b/>
          <w:lang w:val="ro-RO"/>
        </w:rPr>
        <w:t>9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 w:rsidR="004823F8"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621531" w:rsidRPr="004C7FB3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modificate – </w:t>
      </w:r>
      <w:r w:rsidR="00B1729C"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 w:rsidR="00B1729C"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cu </w:t>
      </w:r>
      <w:r w:rsidR="004823F8">
        <w:rPr>
          <w:rFonts w:ascii="Times New Roman" w:hAnsi="Times New Roman"/>
          <w:b/>
          <w:lang w:val="ro-RO"/>
        </w:rPr>
        <w:t>3</w:t>
      </w:r>
      <w:r w:rsidR="00B1729C"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621531" w:rsidRPr="002843F4" w:rsidRDefault="00621531" w:rsidP="00C07989">
      <w:pPr>
        <w:tabs>
          <w:tab w:val="left" w:pos="142"/>
        </w:tabs>
        <w:ind w:right="-1" w:firstLine="0"/>
        <w:rPr>
          <w:szCs w:val="24"/>
          <w:lang w:val="ro-RO"/>
        </w:rPr>
      </w:pPr>
      <w:r w:rsidRPr="002843F4">
        <w:rPr>
          <w:b/>
          <w:szCs w:val="24"/>
          <w:u w:val="single"/>
          <w:lang w:val="ro-RO"/>
        </w:rPr>
        <w:t>Judecătoria Cahul cu sediul în or. Cantemir</w:t>
      </w:r>
      <w:r w:rsidRPr="002843F4">
        <w:rPr>
          <w:szCs w:val="24"/>
          <w:lang w:val="ro-RO"/>
        </w:rPr>
        <w:t xml:space="preserve"> – examinate – </w:t>
      </w:r>
      <w:r w:rsidR="004823F8">
        <w:rPr>
          <w:b/>
          <w:szCs w:val="24"/>
          <w:lang w:val="ro-RO"/>
        </w:rPr>
        <w:t>10</w:t>
      </w:r>
      <w:r w:rsidRPr="002843F4">
        <w:rPr>
          <w:szCs w:val="24"/>
          <w:lang w:val="ro-RO"/>
        </w:rPr>
        <w:t xml:space="preserve"> cauze, cu </w:t>
      </w:r>
      <w:r w:rsidR="004823F8">
        <w:rPr>
          <w:b/>
          <w:szCs w:val="24"/>
          <w:lang w:val="ro-RO"/>
        </w:rPr>
        <w:t>11</w:t>
      </w:r>
      <w:r w:rsidRPr="002843F4">
        <w:rPr>
          <w:szCs w:val="24"/>
          <w:lang w:val="ro-RO"/>
        </w:rPr>
        <w:t xml:space="preserve"> cauze mai </w:t>
      </w:r>
      <w:r>
        <w:rPr>
          <w:szCs w:val="24"/>
          <w:lang w:val="ro-RO"/>
        </w:rPr>
        <w:t>puțin</w:t>
      </w:r>
      <w:r w:rsidRPr="002843F4">
        <w:rPr>
          <w:szCs w:val="24"/>
          <w:lang w:val="ro-RO"/>
        </w:rPr>
        <w:t xml:space="preserve"> ca în aceeași perioadă a anului </w:t>
      </w:r>
      <w:r w:rsidR="0028196B">
        <w:rPr>
          <w:szCs w:val="24"/>
          <w:lang w:val="ro-RO"/>
        </w:rPr>
        <w:t>2018</w:t>
      </w:r>
      <w:r w:rsidRPr="002843F4">
        <w:rPr>
          <w:szCs w:val="24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4823F8">
        <w:rPr>
          <w:rFonts w:ascii="Times New Roman" w:hAnsi="Times New Roman"/>
          <w:b/>
          <w:sz w:val="22"/>
          <w:lang w:val="ro-RO"/>
        </w:rPr>
        <w:t>4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 w:rsidR="004823F8">
        <w:rPr>
          <w:rFonts w:ascii="Times New Roman" w:hAnsi="Times New Roman"/>
          <w:sz w:val="22"/>
          <w:lang w:val="ro-RO"/>
        </w:rPr>
        <w:t>40</w:t>
      </w:r>
      <w:r w:rsidRPr="002306BD">
        <w:rPr>
          <w:rFonts w:ascii="Times New Roman" w:hAnsi="Times New Roman"/>
          <w:sz w:val="22"/>
          <w:lang w:val="ro-RO"/>
        </w:rPr>
        <w:t xml:space="preserve">%), cu </w:t>
      </w:r>
      <w:r w:rsidR="004823F8">
        <w:rPr>
          <w:rFonts w:ascii="Times New Roman" w:hAnsi="Times New Roman"/>
          <w:b/>
          <w:sz w:val="22"/>
          <w:lang w:val="ro-RO"/>
        </w:rPr>
        <w:t>4</w:t>
      </w:r>
      <w:r w:rsidR="00B1729C">
        <w:rPr>
          <w:rFonts w:ascii="Times New Roman" w:hAnsi="Times New Roman"/>
          <w:sz w:val="22"/>
          <w:lang w:val="ro-RO"/>
        </w:rPr>
        <w:t xml:space="preserve"> cauze</w:t>
      </w:r>
      <w:r w:rsidRPr="002306BD">
        <w:rPr>
          <w:rFonts w:ascii="Times New Roman" w:hAnsi="Times New Roman"/>
          <w:sz w:val="22"/>
          <w:lang w:val="ro-RO"/>
        </w:rPr>
        <w:t xml:space="preserve"> mai puțin ca în aceeași perioadă a anului</w:t>
      </w:r>
      <w:r>
        <w:rPr>
          <w:rFonts w:ascii="Times New Roman" w:hAnsi="Times New Roman"/>
          <w:sz w:val="22"/>
          <w:lang w:val="ro-RO"/>
        </w:rPr>
        <w:t xml:space="preserve">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2306BD">
        <w:rPr>
          <w:sz w:val="22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casate – </w:t>
      </w:r>
      <w:r w:rsidR="004823F8">
        <w:rPr>
          <w:rFonts w:ascii="Times New Roman" w:hAnsi="Times New Roman"/>
          <w:b/>
          <w:sz w:val="22"/>
          <w:lang w:val="ro-RO"/>
        </w:rPr>
        <w:t>6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 w:rsidR="004823F8">
        <w:rPr>
          <w:rFonts w:ascii="Times New Roman" w:hAnsi="Times New Roman"/>
          <w:sz w:val="22"/>
          <w:lang w:val="ro-RO"/>
        </w:rPr>
        <w:t>60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="004823F8">
        <w:rPr>
          <w:rFonts w:ascii="Times New Roman" w:hAnsi="Times New Roman"/>
          <w:b/>
          <w:sz w:val="22"/>
          <w:lang w:val="ro-RO"/>
        </w:rPr>
        <w:t>4</w:t>
      </w:r>
      <w:r w:rsidRPr="002306BD">
        <w:rPr>
          <w:rFonts w:ascii="Times New Roman" w:hAnsi="Times New Roman"/>
          <w:sz w:val="22"/>
          <w:lang w:val="ro-RO"/>
        </w:rPr>
        <w:t xml:space="preserve"> cauze mai </w:t>
      </w:r>
      <w:r>
        <w:rPr>
          <w:rFonts w:ascii="Times New Roman" w:hAnsi="Times New Roman"/>
          <w:sz w:val="22"/>
          <w:lang w:val="ro-RO"/>
        </w:rPr>
        <w:t>puțin</w:t>
      </w:r>
      <w:r w:rsidRPr="002306BD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2306BD">
        <w:rPr>
          <w:rFonts w:ascii="Times New Roman" w:hAnsi="Times New Roman"/>
          <w:sz w:val="22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modificate – </w:t>
      </w:r>
      <w:r w:rsidR="00B1729C">
        <w:rPr>
          <w:rFonts w:ascii="Times New Roman" w:hAnsi="Times New Roman"/>
          <w:b/>
          <w:sz w:val="22"/>
          <w:lang w:val="ro-RO"/>
        </w:rPr>
        <w:t>0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 w:rsidR="00B1729C">
        <w:rPr>
          <w:rFonts w:ascii="Times New Roman" w:hAnsi="Times New Roman"/>
          <w:sz w:val="22"/>
          <w:lang w:val="ro-RO"/>
        </w:rPr>
        <w:t>0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="004823F8">
        <w:rPr>
          <w:rFonts w:ascii="Times New Roman" w:hAnsi="Times New Roman"/>
          <w:b/>
          <w:sz w:val="22"/>
          <w:lang w:val="ro-RO"/>
        </w:rPr>
        <w:t>3</w:t>
      </w:r>
      <w:r w:rsidRPr="002306BD">
        <w:rPr>
          <w:rFonts w:ascii="Times New Roman" w:hAnsi="Times New Roman"/>
          <w:b/>
          <w:sz w:val="22"/>
          <w:lang w:val="ro-RO"/>
        </w:rPr>
        <w:t xml:space="preserve"> </w:t>
      </w:r>
      <w:r w:rsidR="00B1729C">
        <w:rPr>
          <w:rFonts w:ascii="Times New Roman" w:hAnsi="Times New Roman"/>
          <w:sz w:val="22"/>
          <w:lang w:val="ro-RO"/>
        </w:rPr>
        <w:t>cauză</w:t>
      </w:r>
      <w:r w:rsidRPr="002306BD">
        <w:rPr>
          <w:rFonts w:ascii="Times New Roman" w:hAnsi="Times New Roman"/>
          <w:sz w:val="22"/>
          <w:lang w:val="ro-RO"/>
        </w:rPr>
        <w:t xml:space="preserve"> mai </w:t>
      </w:r>
      <w:r w:rsidR="00B1729C">
        <w:rPr>
          <w:rFonts w:ascii="Times New Roman" w:hAnsi="Times New Roman"/>
          <w:lang w:val="ro-RO"/>
        </w:rPr>
        <w:t>puțin</w:t>
      </w:r>
      <w:r w:rsidR="00B1729C" w:rsidRPr="002843F4">
        <w:rPr>
          <w:rFonts w:ascii="Times New Roman" w:hAnsi="Times New Roman"/>
          <w:lang w:val="ro-RO"/>
        </w:rPr>
        <w:t xml:space="preserve"> </w:t>
      </w:r>
      <w:r w:rsidRPr="002306BD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</w:p>
    <w:p w:rsidR="00621531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823F8">
        <w:rPr>
          <w:rFonts w:ascii="Times New Roman" w:hAnsi="Times New Roman"/>
          <w:b/>
          <w:sz w:val="24"/>
          <w:szCs w:val="24"/>
          <w:lang w:val="ro-RO"/>
        </w:rPr>
        <w:t>13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4823F8">
        <w:rPr>
          <w:rFonts w:ascii="Times New Roman" w:hAnsi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 xml:space="preserve"> cauze mai 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 w:rsidR="004823F8">
        <w:rPr>
          <w:rFonts w:ascii="Times New Roman" w:hAnsi="Times New Roman"/>
          <w:b/>
          <w:lang w:val="ro-RO"/>
        </w:rPr>
        <w:t>6</w:t>
      </w:r>
      <w:r w:rsidRPr="002843F4">
        <w:rPr>
          <w:rFonts w:ascii="Times New Roman" w:hAnsi="Times New Roman"/>
          <w:lang w:val="ro-RO"/>
        </w:rPr>
        <w:t xml:space="preserve"> cauze (</w:t>
      </w:r>
      <w:r w:rsidR="004823F8">
        <w:rPr>
          <w:rFonts w:ascii="Times New Roman" w:hAnsi="Times New Roman"/>
          <w:lang w:val="ro-RO"/>
        </w:rPr>
        <w:t>46,15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4823F8">
        <w:rPr>
          <w:rFonts w:ascii="Times New Roman" w:hAnsi="Times New Roman"/>
          <w:b/>
          <w:szCs w:val="24"/>
          <w:lang w:val="ro-RO"/>
        </w:rPr>
        <w:t>6</w:t>
      </w:r>
      <w:r w:rsidR="004823F8"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 w:rsidR="00B1729C">
        <w:rPr>
          <w:rFonts w:ascii="Times New Roman" w:hAnsi="Times New Roman"/>
          <w:lang w:val="ro-RO"/>
        </w:rPr>
        <w:t>puțin</w:t>
      </w:r>
      <w:r w:rsidR="00B1729C" w:rsidRPr="002843F4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szCs w:val="24"/>
          <w:lang w:val="ro-RO"/>
        </w:rPr>
        <w:t xml:space="preserve">ca </w:t>
      </w:r>
      <w:r w:rsidRPr="002843F4">
        <w:rPr>
          <w:rFonts w:ascii="Times New Roman" w:hAnsi="Times New Roman"/>
          <w:lang w:val="ro-RO"/>
        </w:rPr>
        <w:t xml:space="preserve">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Pr="002D082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4823F8">
        <w:rPr>
          <w:rFonts w:ascii="Times New Roman" w:hAnsi="Times New Roman"/>
          <w:b/>
          <w:lang w:val="ro-RO"/>
        </w:rPr>
        <w:t>7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4823F8">
        <w:rPr>
          <w:rFonts w:ascii="Times New Roman" w:hAnsi="Times New Roman"/>
          <w:lang w:val="ro-RO"/>
        </w:rPr>
        <w:t>53,85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4823F8">
        <w:rPr>
          <w:rFonts w:ascii="Times New Roman" w:hAnsi="Times New Roman"/>
          <w:b/>
          <w:szCs w:val="24"/>
          <w:lang w:val="ro-RO"/>
        </w:rPr>
        <w:t>3</w:t>
      </w:r>
      <w:r w:rsidR="004823F8"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puțin </w:t>
      </w:r>
      <w:r w:rsidRPr="004C7FB3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FF4DC8" w:rsidRPr="00D643A6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1729C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4823F8">
        <w:rPr>
          <w:rFonts w:ascii="Times New Roman" w:hAnsi="Times New Roman"/>
          <w:b/>
          <w:sz w:val="24"/>
          <w:szCs w:val="24"/>
          <w:lang w:val="ro-RO"/>
        </w:rPr>
        <w:t>7</w:t>
      </w:r>
      <w:r w:rsidR="00D643A6" w:rsidRPr="00D643A6">
        <w:rPr>
          <w:rFonts w:ascii="Times New Roman" w:hAnsi="Times New Roman"/>
          <w:sz w:val="24"/>
          <w:szCs w:val="24"/>
          <w:lang w:val="ro-RO"/>
        </w:rPr>
        <w:t xml:space="preserve"> cau</w:t>
      </w:r>
      <w:r w:rsidR="004823F8">
        <w:rPr>
          <w:rFonts w:ascii="Times New Roman" w:hAnsi="Times New Roman"/>
          <w:sz w:val="24"/>
          <w:szCs w:val="24"/>
          <w:lang w:val="ro-RO"/>
        </w:rPr>
        <w:t>ze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4823F8">
        <w:rPr>
          <w:rFonts w:ascii="Times New Roman" w:hAnsi="Times New Roman"/>
          <w:b/>
          <w:sz w:val="24"/>
          <w:szCs w:val="24"/>
          <w:lang w:val="ro-RO"/>
        </w:rPr>
        <w:t>4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4823F8">
        <w:rPr>
          <w:rFonts w:ascii="Times New Roman" w:hAnsi="Times New Roman"/>
          <w:sz w:val="24"/>
          <w:szCs w:val="24"/>
          <w:lang w:val="ro-RO"/>
        </w:rPr>
        <w:t>mult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D643A6">
        <w:rPr>
          <w:rFonts w:ascii="Times New Roman" w:hAnsi="Times New Roman"/>
          <w:sz w:val="24"/>
          <w:szCs w:val="24"/>
          <w:lang w:val="ro-RO"/>
        </w:rPr>
        <w:t>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menținute fără modificări – </w:t>
      </w:r>
      <w:r w:rsidR="004823F8">
        <w:rPr>
          <w:rFonts w:ascii="Times New Roman" w:hAnsi="Times New Roman"/>
          <w:b/>
          <w:lang w:val="ro-RO"/>
        </w:rPr>
        <w:t>3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4823F8">
        <w:rPr>
          <w:rFonts w:ascii="Times New Roman" w:hAnsi="Times New Roman"/>
          <w:lang w:val="ro-RO"/>
        </w:rPr>
        <w:t>cauze</w:t>
      </w:r>
      <w:r w:rsidRPr="00D643A6">
        <w:rPr>
          <w:rFonts w:ascii="Times New Roman" w:hAnsi="Times New Roman"/>
          <w:lang w:val="ro-RO"/>
        </w:rPr>
        <w:t xml:space="preserve"> (</w:t>
      </w:r>
      <w:r w:rsidR="004823F8">
        <w:rPr>
          <w:rFonts w:ascii="Times New Roman" w:hAnsi="Times New Roman"/>
          <w:lang w:val="ro-RO"/>
        </w:rPr>
        <w:t>42,86</w:t>
      </w:r>
      <w:r w:rsidRPr="00D643A6">
        <w:rPr>
          <w:rFonts w:ascii="Times New Roman" w:hAnsi="Times New Roman"/>
          <w:lang w:val="ro-RO"/>
        </w:rPr>
        <w:t xml:space="preserve">%), cu </w:t>
      </w:r>
      <w:r w:rsidR="004823F8">
        <w:rPr>
          <w:rFonts w:ascii="Times New Roman" w:hAnsi="Times New Roman"/>
          <w:b/>
          <w:lang w:val="ro-RO"/>
        </w:rPr>
        <w:t>2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4823F8">
        <w:rPr>
          <w:rFonts w:ascii="Times New Roman" w:hAnsi="Times New Roman"/>
          <w:lang w:val="ro-RO"/>
        </w:rPr>
        <w:t>cauze</w:t>
      </w:r>
      <w:r w:rsidRPr="00D643A6">
        <w:rPr>
          <w:rFonts w:ascii="Times New Roman" w:hAnsi="Times New Roman"/>
          <w:lang w:val="ro-RO"/>
        </w:rPr>
        <w:t xml:space="preserve"> mai </w:t>
      </w:r>
      <w:r w:rsidR="004823F8">
        <w:rPr>
          <w:rFonts w:ascii="Times New Roman" w:hAnsi="Times New Roman"/>
          <w:lang w:val="ro-RO"/>
        </w:rPr>
        <w:t>mult</w:t>
      </w:r>
      <w:r w:rsidRPr="00D643A6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D643A6">
        <w:rPr>
          <w:rFonts w:ascii="Times New Roman" w:hAnsi="Times New Roman"/>
          <w:lang w:val="ro-RO"/>
        </w:rPr>
        <w:t>,</w:t>
      </w:r>
    </w:p>
    <w:p w:rsidR="00FF4DC8" w:rsidRPr="00C75498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casate – 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4823F8">
        <w:rPr>
          <w:rFonts w:ascii="Times New Roman" w:hAnsi="Times New Roman"/>
          <w:b/>
          <w:lang w:val="ro-RO"/>
        </w:rPr>
        <w:t>4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4823F8">
        <w:rPr>
          <w:rFonts w:ascii="Times New Roman" w:hAnsi="Times New Roman"/>
          <w:lang w:val="ro-RO"/>
        </w:rPr>
        <w:t>cauze</w:t>
      </w:r>
      <w:r w:rsidRPr="00D643A6">
        <w:rPr>
          <w:rFonts w:ascii="Times New Roman" w:hAnsi="Times New Roman"/>
          <w:lang w:val="ro-RO"/>
        </w:rPr>
        <w:t xml:space="preserve"> (</w:t>
      </w:r>
      <w:r w:rsidR="004823F8">
        <w:rPr>
          <w:rFonts w:ascii="Times New Roman" w:hAnsi="Times New Roman"/>
          <w:lang w:val="ro-RO"/>
        </w:rPr>
        <w:t>57,14</w:t>
      </w:r>
      <w:r w:rsidRPr="00D643A6">
        <w:rPr>
          <w:rFonts w:ascii="Times New Roman" w:hAnsi="Times New Roman"/>
          <w:lang w:val="ro-RO"/>
        </w:rPr>
        <w:t xml:space="preserve"> %), cu </w:t>
      </w:r>
      <w:r w:rsidR="004823F8">
        <w:rPr>
          <w:rFonts w:ascii="Times New Roman" w:hAnsi="Times New Roman"/>
          <w:b/>
          <w:lang w:val="ro-RO"/>
        </w:rPr>
        <w:t>2</w:t>
      </w:r>
      <w:r w:rsidRPr="00D643A6">
        <w:rPr>
          <w:rFonts w:ascii="Times New Roman" w:hAnsi="Times New Roman"/>
          <w:lang w:val="ro-RO"/>
        </w:rPr>
        <w:t xml:space="preserve"> cauz</w:t>
      </w:r>
      <w:r w:rsidR="004823F8">
        <w:rPr>
          <w:rFonts w:ascii="Times New Roman" w:hAnsi="Times New Roman"/>
          <w:lang w:val="ro-RO"/>
        </w:rPr>
        <w:t>e</w:t>
      </w:r>
      <w:r w:rsidRPr="00D643A6">
        <w:rPr>
          <w:rFonts w:ascii="Times New Roman" w:hAnsi="Times New Roman"/>
          <w:lang w:val="ro-RO"/>
        </w:rPr>
        <w:t xml:space="preserve"> mai </w:t>
      </w:r>
      <w:r w:rsidR="004823F8">
        <w:rPr>
          <w:rFonts w:ascii="Times New Roman" w:hAnsi="Times New Roman"/>
          <w:lang w:val="ro-RO"/>
        </w:rPr>
        <w:t>mult</w:t>
      </w:r>
      <w:r w:rsidRPr="00D643A6">
        <w:rPr>
          <w:rFonts w:ascii="Times New Roman" w:hAnsi="Times New Roman"/>
          <w:lang w:val="ro-RO"/>
        </w:rPr>
        <w:t xml:space="preserve"> 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D643A6">
        <w:rPr>
          <w:rFonts w:ascii="Times New Roman" w:hAnsi="Times New Roman"/>
          <w:lang w:val="ro-RO"/>
        </w:rPr>
        <w:t>,</w:t>
      </w:r>
    </w:p>
    <w:p w:rsidR="00C75498" w:rsidRPr="00D643A6" w:rsidRDefault="00C75498" w:rsidP="00C7549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Leova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cau</w:t>
      </w:r>
      <w:r>
        <w:rPr>
          <w:rFonts w:ascii="Times New Roman" w:hAnsi="Times New Roman"/>
          <w:sz w:val="24"/>
          <w:szCs w:val="24"/>
          <w:lang w:val="ro-RO"/>
        </w:rPr>
        <w:t>ze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cauze mai </w:t>
      </w:r>
      <w:r>
        <w:rPr>
          <w:rFonts w:ascii="Times New Roman" w:hAnsi="Times New Roman"/>
          <w:sz w:val="24"/>
          <w:szCs w:val="24"/>
          <w:lang w:val="ro-RO"/>
        </w:rPr>
        <w:t>mult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</w:t>
      </w:r>
      <w:r w:rsidRPr="00D643A6">
        <w:rPr>
          <w:rFonts w:ascii="Times New Roman" w:hAnsi="Times New Roman"/>
          <w:sz w:val="24"/>
          <w:szCs w:val="24"/>
          <w:lang w:val="ro-RO"/>
        </w:rPr>
        <w:t>,</w:t>
      </w:r>
    </w:p>
    <w:p w:rsidR="00C75498" w:rsidRPr="00D643A6" w:rsidRDefault="00C75498" w:rsidP="00C75498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cauză</w:t>
      </w:r>
      <w:r w:rsidRPr="00D643A6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50</w:t>
      </w:r>
      <w:r w:rsidRPr="00D643A6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cauză</w:t>
      </w:r>
      <w:r w:rsidRPr="00D643A6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D643A6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D643A6">
        <w:rPr>
          <w:rFonts w:ascii="Times New Roman" w:hAnsi="Times New Roman"/>
          <w:lang w:val="ro-RO"/>
        </w:rPr>
        <w:t>,</w:t>
      </w:r>
    </w:p>
    <w:p w:rsidR="00C75498" w:rsidRPr="00C75498" w:rsidRDefault="00C75498" w:rsidP="00C75498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casate – </w:t>
      </w:r>
      <w:r w:rsidRPr="00D643A6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cauză</w:t>
      </w:r>
      <w:r w:rsidRPr="00D643A6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50</w:t>
      </w:r>
      <w:r w:rsidRPr="00D643A6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ă</w:t>
      </w:r>
      <w:r w:rsidRPr="00D643A6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D643A6">
        <w:rPr>
          <w:rFonts w:ascii="Times New Roman" w:hAnsi="Times New Roman"/>
          <w:lang w:val="ro-RO"/>
        </w:rPr>
        <w:t xml:space="preserve">  ca în aceeași perioadă a anului </w:t>
      </w:r>
      <w:r>
        <w:rPr>
          <w:rFonts w:ascii="Times New Roman" w:hAnsi="Times New Roman"/>
          <w:lang w:val="ro-RO"/>
        </w:rPr>
        <w:t>2018</w:t>
      </w:r>
      <w:r w:rsidRPr="00D643A6">
        <w:rPr>
          <w:rFonts w:ascii="Times New Roman" w:hAnsi="Times New Roman"/>
          <w:lang w:val="ro-RO"/>
        </w:rPr>
        <w:t>,</w:t>
      </w:r>
    </w:p>
    <w:p w:rsidR="007F7789" w:rsidRPr="00BB40BD" w:rsidRDefault="007F7789" w:rsidP="007F77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cu sediul în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9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cauză,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cauze mai 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</w:t>
      </w:r>
      <w:r w:rsidRPr="00BB40BD">
        <w:rPr>
          <w:rFonts w:ascii="Times New Roman" w:hAnsi="Times New Roman"/>
          <w:sz w:val="24"/>
          <w:szCs w:val="24"/>
          <w:lang w:val="ro-RO"/>
        </w:rPr>
        <w:t>,</w:t>
      </w:r>
    </w:p>
    <w:p w:rsidR="007F7789" w:rsidRPr="00BB40BD" w:rsidRDefault="007F7789" w:rsidP="007F77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Pr="00BB40BD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6</w:t>
      </w:r>
      <w:r>
        <w:rPr>
          <w:rFonts w:ascii="Times New Roman" w:hAnsi="Times New Roman"/>
          <w:lang w:val="ro-RO"/>
        </w:rPr>
        <w:t xml:space="preserve"> cauze (66,67</w:t>
      </w:r>
      <w:r w:rsidRPr="00BB40B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4</w:t>
      </w:r>
      <w:r w:rsidRPr="00BB40BD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cauze</w:t>
      </w:r>
      <w:r w:rsidRPr="00BB40B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BB40BD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BB40BD">
        <w:rPr>
          <w:rFonts w:ascii="Times New Roman" w:hAnsi="Times New Roman"/>
          <w:lang w:val="ro-RO"/>
        </w:rPr>
        <w:t>,</w:t>
      </w:r>
    </w:p>
    <w:p w:rsidR="007F7789" w:rsidRPr="007F7789" w:rsidRDefault="007F7789" w:rsidP="007F77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3</w:t>
      </w:r>
      <w:r w:rsidRPr="00BB40BD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cauze </w:t>
      </w:r>
      <w:r w:rsidRPr="00BB40BD"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lang w:val="ro-RO"/>
        </w:rPr>
        <w:t>33,33%),</w:t>
      </w:r>
      <w:r w:rsidRPr="00BB40BD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BB40B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BB40BD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BB40BD">
        <w:rPr>
          <w:rFonts w:ascii="Times New Roman" w:hAnsi="Times New Roman"/>
          <w:lang w:val="ro-RO"/>
        </w:rPr>
        <w:t>,</w:t>
      </w:r>
    </w:p>
    <w:p w:rsidR="00FF4DC8" w:rsidRPr="00BB40BD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Ceadâr-Lunga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cauză, </w:t>
      </w:r>
      <w:r w:rsidR="00083833">
        <w:rPr>
          <w:rFonts w:ascii="Times New Roman" w:hAnsi="Times New Roman"/>
          <w:sz w:val="24"/>
          <w:szCs w:val="24"/>
          <w:lang w:val="ro-RO"/>
        </w:rPr>
        <w:t>la fel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BB40BD">
        <w:rPr>
          <w:rFonts w:ascii="Times New Roman" w:hAnsi="Times New Roman"/>
          <w:sz w:val="24"/>
          <w:szCs w:val="24"/>
          <w:lang w:val="ro-RO"/>
        </w:rPr>
        <w:t>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b/>
          <w:lang w:val="ro-RO"/>
        </w:rPr>
        <w:t>0</w:t>
      </w:r>
      <w:r w:rsidR="00083833">
        <w:rPr>
          <w:rFonts w:ascii="Times New Roman" w:hAnsi="Times New Roman"/>
          <w:lang w:val="ro-RO"/>
        </w:rPr>
        <w:t xml:space="preserve"> cauză (</w:t>
      </w:r>
      <w:r w:rsidRPr="00BB40BD">
        <w:rPr>
          <w:rFonts w:ascii="Times New Roman" w:hAnsi="Times New Roman"/>
          <w:lang w:val="ro-RO"/>
        </w:rPr>
        <w:t xml:space="preserve">0%), cu </w:t>
      </w:r>
      <w:r w:rsidR="00083833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lang w:val="ro-RO"/>
        </w:rPr>
        <w:t>cauză</w:t>
      </w:r>
      <w:r w:rsidRPr="00BB40BD">
        <w:rPr>
          <w:rFonts w:ascii="Times New Roman" w:hAnsi="Times New Roman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BB40BD">
        <w:rPr>
          <w:rFonts w:ascii="Times New Roman" w:hAnsi="Times New Roman"/>
          <w:lang w:val="ro-RO"/>
        </w:rPr>
        <w:t>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="00083833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lang w:val="ro-RO"/>
        </w:rPr>
        <w:t xml:space="preserve">cauză </w:t>
      </w:r>
      <w:r w:rsidR="00083833" w:rsidRPr="00BB40BD">
        <w:rPr>
          <w:rFonts w:ascii="Times New Roman" w:hAnsi="Times New Roman"/>
          <w:lang w:val="ro-RO"/>
        </w:rPr>
        <w:t>(</w:t>
      </w:r>
      <w:r w:rsidR="00083833">
        <w:rPr>
          <w:rFonts w:ascii="Times New Roman" w:hAnsi="Times New Roman"/>
          <w:lang w:val="ro-RO"/>
        </w:rPr>
        <w:t>100%),</w:t>
      </w:r>
      <w:r w:rsidRPr="00BB40BD">
        <w:rPr>
          <w:rFonts w:ascii="Times New Roman" w:hAnsi="Times New Roman"/>
          <w:lang w:val="ro-RO"/>
        </w:rPr>
        <w:t xml:space="preserve"> cu </w:t>
      </w:r>
      <w:r w:rsidR="00083833">
        <w:rPr>
          <w:rFonts w:ascii="Times New Roman" w:hAnsi="Times New Roman"/>
          <w:b/>
          <w:lang w:val="ro-RO"/>
        </w:rPr>
        <w:t>1</w:t>
      </w:r>
      <w:r w:rsidR="00083833">
        <w:rPr>
          <w:rFonts w:ascii="Times New Roman" w:hAnsi="Times New Roman"/>
          <w:lang w:val="ro-RO"/>
        </w:rPr>
        <w:t xml:space="preserve"> cauză</w:t>
      </w:r>
      <w:r w:rsidRPr="00BB40BD">
        <w:rPr>
          <w:rFonts w:ascii="Times New Roman" w:hAnsi="Times New Roman"/>
          <w:lang w:val="ro-RO"/>
        </w:rPr>
        <w:t xml:space="preserve"> mai </w:t>
      </w:r>
      <w:r w:rsidR="00083833">
        <w:rPr>
          <w:rFonts w:ascii="Times New Roman" w:hAnsi="Times New Roman"/>
          <w:lang w:val="ro-RO"/>
        </w:rPr>
        <w:t>mult</w:t>
      </w:r>
      <w:r w:rsidRPr="00BB40B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BB40BD">
        <w:rPr>
          <w:rFonts w:ascii="Times New Roman" w:hAnsi="Times New Roman"/>
          <w:lang w:val="ro-RO"/>
        </w:rPr>
        <w:t>,</w:t>
      </w:r>
    </w:p>
    <w:p w:rsidR="00083833" w:rsidRDefault="00FF4DC8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 </w:t>
      </w:r>
      <w:r w:rsidR="007F7789">
        <w:rPr>
          <w:rFonts w:ascii="Times New Roman" w:hAnsi="Times New Roman"/>
          <w:b/>
          <w:sz w:val="24"/>
          <w:szCs w:val="24"/>
          <w:lang w:val="ro-RO"/>
        </w:rPr>
        <w:t>2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F7789">
        <w:rPr>
          <w:rFonts w:ascii="Times New Roman" w:hAnsi="Times New Roman"/>
          <w:sz w:val="24"/>
          <w:szCs w:val="24"/>
          <w:lang w:val="ro-RO"/>
        </w:rPr>
        <w:t>cauze</w:t>
      </w:r>
      <w:r w:rsidRPr="00BB40BD">
        <w:rPr>
          <w:rFonts w:ascii="Times New Roman" w:hAnsi="Times New Roman"/>
          <w:sz w:val="24"/>
          <w:szCs w:val="24"/>
          <w:lang w:val="ro-RO"/>
        </w:rPr>
        <w:t>,</w:t>
      </w:r>
      <w:r w:rsidR="007F778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7789" w:rsidRPr="00BB40BD">
        <w:rPr>
          <w:rFonts w:ascii="Times New Roman" w:hAnsi="Times New Roman"/>
          <w:lang w:val="ro-RO"/>
        </w:rPr>
        <w:t xml:space="preserve">cu </w:t>
      </w:r>
      <w:r w:rsidR="007F7789" w:rsidRPr="00BB40BD">
        <w:rPr>
          <w:rFonts w:ascii="Times New Roman" w:hAnsi="Times New Roman"/>
          <w:b/>
          <w:lang w:val="ro-RO"/>
        </w:rPr>
        <w:t>1</w:t>
      </w:r>
      <w:r w:rsidR="007F7789" w:rsidRPr="00BB40BD">
        <w:rPr>
          <w:rFonts w:ascii="Times New Roman" w:hAnsi="Times New Roman"/>
          <w:lang w:val="ro-RO"/>
        </w:rPr>
        <w:t xml:space="preserve"> cauză mai mult</w:t>
      </w:r>
      <w:r w:rsidR="007F7789">
        <w:rPr>
          <w:rFonts w:ascii="Times New Roman" w:hAnsi="Times New Roman"/>
          <w:lang w:val="ro-RO"/>
        </w:rPr>
        <w:t xml:space="preserve"> </w:t>
      </w:r>
      <w:r w:rsidR="007F7789" w:rsidRPr="00BB40BD">
        <w:rPr>
          <w:rFonts w:ascii="Times New Roman" w:hAnsi="Times New Roman"/>
          <w:lang w:val="ro-RO"/>
        </w:rPr>
        <w:t xml:space="preserve">ca în aceeași perioadă a anului </w:t>
      </w:r>
      <w:r w:rsidR="007F7789">
        <w:rPr>
          <w:rFonts w:ascii="Times New Roman" w:hAnsi="Times New Roman"/>
          <w:lang w:val="ro-RO"/>
        </w:rPr>
        <w:t>2018</w:t>
      </w:r>
      <w:r w:rsidR="007F7789" w:rsidRPr="00BB40BD">
        <w:rPr>
          <w:rFonts w:ascii="Times New Roman" w:hAnsi="Times New Roman"/>
          <w:lang w:val="ro-RO"/>
        </w:rPr>
        <w:t>,</w:t>
      </w:r>
    </w:p>
    <w:p w:rsidR="00FF4DC8" w:rsidRPr="00BB40BD" w:rsidRDefault="00083833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FF4DC8" w:rsidRPr="00BB40BD">
        <w:rPr>
          <w:rFonts w:ascii="Times New Roman" w:hAnsi="Times New Roman"/>
          <w:lang w:val="ro-RO"/>
        </w:rPr>
        <w:t xml:space="preserve">  menținute fără modificări –</w:t>
      </w:r>
      <w:r w:rsidR="00FF4DC8" w:rsidRPr="00BB40BD">
        <w:rPr>
          <w:rFonts w:ascii="Times New Roman" w:hAnsi="Times New Roman"/>
          <w:b/>
          <w:lang w:val="ro-RO"/>
        </w:rPr>
        <w:t xml:space="preserve"> </w:t>
      </w:r>
      <w:r w:rsidR="007F7789">
        <w:rPr>
          <w:rFonts w:ascii="Times New Roman" w:hAnsi="Times New Roman"/>
          <w:b/>
          <w:lang w:val="ro-RO"/>
        </w:rPr>
        <w:t>1</w:t>
      </w:r>
      <w:r w:rsidR="007F7789">
        <w:rPr>
          <w:rFonts w:ascii="Times New Roman" w:hAnsi="Times New Roman"/>
          <w:lang w:val="ro-RO"/>
        </w:rPr>
        <w:t xml:space="preserve"> cauză</w:t>
      </w:r>
      <w:r>
        <w:rPr>
          <w:rFonts w:ascii="Times New Roman" w:hAnsi="Times New Roman"/>
          <w:lang w:val="ro-RO"/>
        </w:rPr>
        <w:t xml:space="preserve"> (</w:t>
      </w:r>
      <w:r w:rsidR="00C75498">
        <w:rPr>
          <w:rFonts w:ascii="Times New Roman" w:hAnsi="Times New Roman"/>
          <w:lang w:val="ro-RO"/>
        </w:rPr>
        <w:t>50</w:t>
      </w:r>
      <w:r w:rsidR="00FF4DC8" w:rsidRPr="00BB40BD">
        <w:rPr>
          <w:rFonts w:ascii="Times New Roman" w:hAnsi="Times New Roman"/>
          <w:lang w:val="ro-RO"/>
        </w:rPr>
        <w:t xml:space="preserve">%), </w:t>
      </w:r>
      <w:r w:rsidR="007F7789">
        <w:rPr>
          <w:rFonts w:ascii="Times New Roman" w:hAnsi="Times New Roman"/>
          <w:lang w:val="ro-RO"/>
        </w:rPr>
        <w:t xml:space="preserve"> </w:t>
      </w:r>
      <w:r w:rsidR="007F4C7C" w:rsidRPr="00BB40BD">
        <w:rPr>
          <w:rFonts w:ascii="Times New Roman" w:hAnsi="Times New Roman"/>
          <w:lang w:val="ro-RO"/>
        </w:rPr>
        <w:t xml:space="preserve">cu </w:t>
      </w:r>
      <w:r w:rsidR="007F4C7C">
        <w:rPr>
          <w:rFonts w:ascii="Times New Roman" w:hAnsi="Times New Roman"/>
          <w:b/>
          <w:lang w:val="ro-RO"/>
        </w:rPr>
        <w:t>2</w:t>
      </w:r>
      <w:r w:rsidR="007F4C7C" w:rsidRPr="00BB40BD">
        <w:rPr>
          <w:rFonts w:ascii="Times New Roman" w:hAnsi="Times New Roman"/>
          <w:b/>
          <w:lang w:val="ro-RO"/>
        </w:rPr>
        <w:t xml:space="preserve"> </w:t>
      </w:r>
      <w:r w:rsidR="007F4C7C">
        <w:rPr>
          <w:rFonts w:ascii="Times New Roman" w:hAnsi="Times New Roman"/>
          <w:lang w:val="ro-RO"/>
        </w:rPr>
        <w:t>cauze</w:t>
      </w:r>
      <w:r w:rsidR="007F4C7C" w:rsidRPr="00BB40BD">
        <w:rPr>
          <w:rFonts w:ascii="Times New Roman" w:hAnsi="Times New Roman"/>
          <w:lang w:val="ro-RO"/>
        </w:rPr>
        <w:t xml:space="preserve"> mai </w:t>
      </w:r>
      <w:r w:rsidR="007F4C7C">
        <w:rPr>
          <w:rFonts w:ascii="Times New Roman" w:hAnsi="Times New Roman"/>
          <w:lang w:val="ro-RO"/>
        </w:rPr>
        <w:t>mult</w:t>
      </w:r>
      <w:r w:rsidR="007F4C7C" w:rsidRPr="00BB40BD">
        <w:rPr>
          <w:rFonts w:ascii="Times New Roman" w:hAnsi="Times New Roman"/>
          <w:lang w:val="ro-RO"/>
        </w:rPr>
        <w:t xml:space="preserve"> </w:t>
      </w:r>
      <w:r w:rsidR="007F7789" w:rsidRPr="00BB40BD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7F7789">
        <w:rPr>
          <w:rFonts w:ascii="Times New Roman" w:hAnsi="Times New Roman"/>
          <w:sz w:val="24"/>
          <w:szCs w:val="24"/>
          <w:lang w:val="ro-RO"/>
        </w:rPr>
        <w:t>2018,</w:t>
      </w:r>
    </w:p>
    <w:p w:rsidR="00083833" w:rsidRPr="00083833" w:rsidRDefault="00FF4DC8" w:rsidP="00C7549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083833">
        <w:rPr>
          <w:rFonts w:ascii="Times New Roman" w:hAnsi="Times New Roman"/>
          <w:lang w:val="ro-RO"/>
        </w:rPr>
        <w:t xml:space="preserve">casate – </w:t>
      </w:r>
      <w:r w:rsidR="00083833" w:rsidRPr="00C75498">
        <w:rPr>
          <w:rFonts w:ascii="Times New Roman" w:hAnsi="Times New Roman"/>
          <w:b/>
          <w:lang w:val="ro-RO"/>
        </w:rPr>
        <w:t>1</w:t>
      </w:r>
      <w:r w:rsidR="00083833" w:rsidRPr="00083833">
        <w:rPr>
          <w:rFonts w:ascii="Times New Roman" w:hAnsi="Times New Roman"/>
          <w:lang w:val="ro-RO"/>
        </w:rPr>
        <w:t xml:space="preserve"> cauză</w:t>
      </w:r>
      <w:r w:rsidRPr="00083833">
        <w:rPr>
          <w:rFonts w:ascii="Times New Roman" w:hAnsi="Times New Roman"/>
          <w:lang w:val="ro-RO"/>
        </w:rPr>
        <w:t xml:space="preserve">  (</w:t>
      </w:r>
      <w:r w:rsidR="00C75498">
        <w:rPr>
          <w:rFonts w:ascii="Times New Roman" w:hAnsi="Times New Roman"/>
          <w:lang w:val="ro-RO"/>
        </w:rPr>
        <w:t>50</w:t>
      </w:r>
      <w:r w:rsidRPr="00083833">
        <w:rPr>
          <w:rFonts w:ascii="Times New Roman" w:hAnsi="Times New Roman"/>
          <w:lang w:val="ro-RO"/>
        </w:rPr>
        <w:t xml:space="preserve">%), </w:t>
      </w:r>
      <w:r w:rsidR="00C75498" w:rsidRPr="00BB40BD">
        <w:rPr>
          <w:rFonts w:ascii="Times New Roman" w:hAnsi="Times New Roman"/>
          <w:lang w:val="ro-RO"/>
        </w:rPr>
        <w:t xml:space="preserve">cu </w:t>
      </w:r>
      <w:r w:rsidR="00C75498" w:rsidRPr="00BB40BD">
        <w:rPr>
          <w:rFonts w:ascii="Times New Roman" w:hAnsi="Times New Roman"/>
          <w:b/>
          <w:lang w:val="ro-RO"/>
        </w:rPr>
        <w:t>1</w:t>
      </w:r>
      <w:r w:rsidR="00C75498" w:rsidRPr="00BB40BD">
        <w:rPr>
          <w:rFonts w:ascii="Times New Roman" w:hAnsi="Times New Roman"/>
          <w:lang w:val="ro-RO"/>
        </w:rPr>
        <w:t xml:space="preserve"> cauză mai mult</w:t>
      </w:r>
      <w:r w:rsidR="00C75498">
        <w:rPr>
          <w:rFonts w:ascii="Times New Roman" w:hAnsi="Times New Roman"/>
          <w:lang w:val="ro-RO"/>
        </w:rPr>
        <w:t xml:space="preserve"> </w:t>
      </w:r>
      <w:r w:rsidR="00C75498" w:rsidRPr="00BB40BD">
        <w:rPr>
          <w:rFonts w:ascii="Times New Roman" w:hAnsi="Times New Roman"/>
          <w:lang w:val="ro-RO"/>
        </w:rPr>
        <w:t xml:space="preserve">ca în aceeași perioadă a anului </w:t>
      </w:r>
      <w:r w:rsidR="00C75498">
        <w:rPr>
          <w:rFonts w:ascii="Times New Roman" w:hAnsi="Times New Roman"/>
          <w:lang w:val="ro-RO"/>
        </w:rPr>
        <w:t>2018</w:t>
      </w:r>
      <w:r w:rsidR="00C75498" w:rsidRPr="00BB40BD">
        <w:rPr>
          <w:rFonts w:ascii="Times New Roman" w:hAnsi="Times New Roman"/>
          <w:lang w:val="ro-RO"/>
        </w:rPr>
        <w:t>,</w:t>
      </w:r>
    </w:p>
    <w:p w:rsidR="00811259" w:rsidRPr="00A84A63" w:rsidRDefault="00811259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 w:rsidR="00C7549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976DF5">
        <w:rPr>
          <w:rFonts w:ascii="Times New Roman" w:hAnsi="Times New Roman"/>
          <w:b/>
          <w:sz w:val="24"/>
          <w:szCs w:val="24"/>
          <w:lang w:val="ro-RO"/>
        </w:rPr>
        <w:t>4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F4C7C">
        <w:rPr>
          <w:rFonts w:ascii="Times New Roman" w:hAnsi="Times New Roman"/>
          <w:sz w:val="24"/>
          <w:szCs w:val="24"/>
          <w:lang w:val="ro-RO"/>
        </w:rPr>
        <w:t>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F4C7C" w:rsidRPr="00BB40BD">
        <w:rPr>
          <w:rFonts w:ascii="Times New Roman" w:hAnsi="Times New Roman"/>
          <w:lang w:val="ro-RO"/>
        </w:rPr>
        <w:t xml:space="preserve">cu </w:t>
      </w:r>
      <w:r w:rsidR="00976DF5">
        <w:rPr>
          <w:rFonts w:ascii="Times New Roman" w:hAnsi="Times New Roman"/>
          <w:b/>
          <w:lang w:val="ro-RO"/>
        </w:rPr>
        <w:t>3</w:t>
      </w:r>
      <w:r w:rsidR="007F4C7C" w:rsidRPr="00BB40BD">
        <w:rPr>
          <w:rFonts w:ascii="Times New Roman" w:hAnsi="Times New Roman"/>
          <w:b/>
          <w:lang w:val="ro-RO"/>
        </w:rPr>
        <w:t xml:space="preserve"> </w:t>
      </w:r>
      <w:r w:rsidR="007F4C7C">
        <w:rPr>
          <w:rFonts w:ascii="Times New Roman" w:hAnsi="Times New Roman"/>
          <w:lang w:val="ro-RO"/>
        </w:rPr>
        <w:t>cauze</w:t>
      </w:r>
      <w:r w:rsidR="007F4C7C" w:rsidRPr="00BB40BD">
        <w:rPr>
          <w:rFonts w:ascii="Times New Roman" w:hAnsi="Times New Roman"/>
          <w:lang w:val="ro-RO"/>
        </w:rPr>
        <w:t xml:space="preserve"> mai </w:t>
      </w:r>
      <w:r w:rsidR="007F4C7C">
        <w:rPr>
          <w:rFonts w:ascii="Times New Roman" w:hAnsi="Times New Roman"/>
          <w:lang w:val="ro-RO"/>
        </w:rPr>
        <w:t>mult</w:t>
      </w:r>
      <w:r w:rsidR="007F4C7C" w:rsidRPr="00BB40BD">
        <w:rPr>
          <w:rFonts w:ascii="Times New Roman" w:hAnsi="Times New Roman"/>
          <w:lang w:val="ro-RO"/>
        </w:rPr>
        <w:t xml:space="preserve"> </w:t>
      </w:r>
      <w:r w:rsidR="00C75498" w:rsidRPr="00BB40BD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C75498">
        <w:rPr>
          <w:rFonts w:ascii="Times New Roman" w:hAnsi="Times New Roman"/>
          <w:sz w:val="24"/>
          <w:szCs w:val="24"/>
          <w:lang w:val="ro-RO"/>
        </w:rPr>
        <w:t>2018,</w:t>
      </w:r>
    </w:p>
    <w:p w:rsidR="00811259" w:rsidRPr="00A84A63" w:rsidRDefault="00811259" w:rsidP="00C7549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menținute fără modificări –</w:t>
      </w:r>
      <w:r w:rsidR="00083833">
        <w:rPr>
          <w:rFonts w:ascii="Times New Roman" w:hAnsi="Times New Roman"/>
          <w:lang w:val="ro-RO"/>
        </w:rPr>
        <w:t xml:space="preserve"> </w:t>
      </w:r>
      <w:r w:rsidR="007F4C7C">
        <w:rPr>
          <w:rFonts w:ascii="Times New Roman" w:hAnsi="Times New Roman"/>
          <w:b/>
          <w:lang w:val="ro-RO"/>
        </w:rPr>
        <w:t>2</w:t>
      </w:r>
      <w:r w:rsidR="00BB40BD" w:rsidRPr="00A84A63">
        <w:rPr>
          <w:rFonts w:ascii="Times New Roman" w:hAnsi="Times New Roman"/>
          <w:lang w:val="ro-RO"/>
        </w:rPr>
        <w:t xml:space="preserve"> cauze</w:t>
      </w:r>
      <w:r w:rsidR="00083833">
        <w:rPr>
          <w:rFonts w:ascii="Times New Roman" w:hAnsi="Times New Roman"/>
          <w:lang w:val="ro-RO"/>
        </w:rPr>
        <w:t xml:space="preserve"> (</w:t>
      </w:r>
      <w:r w:rsidR="00976DF5">
        <w:rPr>
          <w:rFonts w:ascii="Times New Roman" w:hAnsi="Times New Roman"/>
          <w:lang w:val="ro-RO"/>
        </w:rPr>
        <w:t>50</w:t>
      </w:r>
      <w:r w:rsidRPr="00A84A63">
        <w:rPr>
          <w:rFonts w:ascii="Times New Roman" w:hAnsi="Times New Roman"/>
          <w:lang w:val="ro-RO"/>
        </w:rPr>
        <w:t xml:space="preserve"> %),</w:t>
      </w:r>
      <w:r w:rsidR="00BB40BD" w:rsidRPr="00A84A63">
        <w:rPr>
          <w:rFonts w:ascii="Times New Roman" w:hAnsi="Times New Roman"/>
          <w:lang w:val="ro-RO"/>
        </w:rPr>
        <w:t xml:space="preserve"> </w:t>
      </w:r>
      <w:r w:rsidR="00C75498" w:rsidRPr="00BB40BD">
        <w:rPr>
          <w:rFonts w:ascii="Times New Roman" w:hAnsi="Times New Roman"/>
          <w:lang w:val="ro-RO"/>
        </w:rPr>
        <w:t xml:space="preserve">cu </w:t>
      </w:r>
      <w:r w:rsidR="00C75498" w:rsidRPr="00BB40BD">
        <w:rPr>
          <w:rFonts w:ascii="Times New Roman" w:hAnsi="Times New Roman"/>
          <w:b/>
          <w:lang w:val="ro-RO"/>
        </w:rPr>
        <w:t>1</w:t>
      </w:r>
      <w:r w:rsidR="00C75498" w:rsidRPr="00BB40BD">
        <w:rPr>
          <w:rFonts w:ascii="Times New Roman" w:hAnsi="Times New Roman"/>
          <w:lang w:val="ro-RO"/>
        </w:rPr>
        <w:t xml:space="preserve"> cauză mai </w:t>
      </w:r>
      <w:r w:rsidR="007F4C7C">
        <w:rPr>
          <w:rFonts w:ascii="Times New Roman" w:hAnsi="Times New Roman"/>
          <w:lang w:val="ro-RO"/>
        </w:rPr>
        <w:t>mult</w:t>
      </w:r>
      <w:r w:rsidR="00C75498">
        <w:rPr>
          <w:rFonts w:ascii="Times New Roman" w:hAnsi="Times New Roman"/>
          <w:lang w:val="ro-RO"/>
        </w:rPr>
        <w:t xml:space="preserve"> </w:t>
      </w:r>
      <w:r w:rsidR="00C75498" w:rsidRPr="00BB40BD">
        <w:rPr>
          <w:rFonts w:ascii="Times New Roman" w:hAnsi="Times New Roman"/>
          <w:lang w:val="ro-RO"/>
        </w:rPr>
        <w:t xml:space="preserve">ca în aceeași perioadă a anului </w:t>
      </w:r>
      <w:r w:rsidR="00C75498">
        <w:rPr>
          <w:rFonts w:ascii="Times New Roman" w:hAnsi="Times New Roman"/>
          <w:lang w:val="ro-RO"/>
        </w:rPr>
        <w:t>2018,</w:t>
      </w:r>
    </w:p>
    <w:p w:rsidR="00F14E9C" w:rsidRPr="00151708" w:rsidRDefault="00811259" w:rsidP="00F14E9C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casate – </w:t>
      </w:r>
      <w:r w:rsidR="00976DF5">
        <w:rPr>
          <w:rFonts w:ascii="Times New Roman" w:hAnsi="Times New Roman"/>
          <w:b/>
          <w:lang w:val="ro-RO"/>
        </w:rPr>
        <w:t>2</w:t>
      </w:r>
      <w:r w:rsidR="00976DF5">
        <w:rPr>
          <w:rFonts w:ascii="Times New Roman" w:hAnsi="Times New Roman"/>
          <w:lang w:val="ro-RO"/>
        </w:rPr>
        <w:t xml:space="preserve"> cauze</w:t>
      </w:r>
      <w:r w:rsidR="00BB40BD" w:rsidRPr="00A84A63">
        <w:rPr>
          <w:rFonts w:ascii="Times New Roman" w:hAnsi="Times New Roman"/>
          <w:lang w:val="ro-RO"/>
        </w:rPr>
        <w:t xml:space="preserve"> (</w:t>
      </w:r>
      <w:r w:rsidR="00976DF5">
        <w:rPr>
          <w:rFonts w:ascii="Times New Roman" w:hAnsi="Times New Roman"/>
          <w:lang w:val="ro-RO"/>
        </w:rPr>
        <w:t>50</w:t>
      </w:r>
      <w:r w:rsidR="00C86F7C">
        <w:rPr>
          <w:rFonts w:ascii="Times New Roman" w:hAnsi="Times New Roman"/>
          <w:lang w:val="ro-RO"/>
        </w:rPr>
        <w:t xml:space="preserve"> %)</w:t>
      </w:r>
      <w:r w:rsidR="00BB40BD" w:rsidRPr="00A84A63">
        <w:rPr>
          <w:rFonts w:ascii="Times New Roman" w:hAnsi="Times New Roman"/>
          <w:lang w:val="ro-RO"/>
        </w:rPr>
        <w:t>,</w:t>
      </w:r>
      <w:r w:rsidR="00C75498">
        <w:rPr>
          <w:rFonts w:ascii="Times New Roman" w:hAnsi="Times New Roman"/>
          <w:lang w:val="ro-RO"/>
        </w:rPr>
        <w:t xml:space="preserve"> </w:t>
      </w:r>
      <w:r w:rsidR="00C75498" w:rsidRPr="00BB40BD">
        <w:rPr>
          <w:rFonts w:ascii="Times New Roman" w:hAnsi="Times New Roman"/>
          <w:lang w:val="ro-RO"/>
        </w:rPr>
        <w:t xml:space="preserve">cu </w:t>
      </w:r>
      <w:r w:rsidR="00976DF5">
        <w:rPr>
          <w:rFonts w:ascii="Times New Roman" w:hAnsi="Times New Roman"/>
          <w:b/>
          <w:lang w:val="ro-RO"/>
        </w:rPr>
        <w:t>2</w:t>
      </w:r>
      <w:r w:rsidR="00976DF5">
        <w:rPr>
          <w:rFonts w:ascii="Times New Roman" w:hAnsi="Times New Roman"/>
          <w:lang w:val="ro-RO"/>
        </w:rPr>
        <w:t xml:space="preserve"> cauze</w:t>
      </w:r>
      <w:r w:rsidR="00C75498" w:rsidRPr="00BB40BD">
        <w:rPr>
          <w:rFonts w:ascii="Times New Roman" w:hAnsi="Times New Roman"/>
          <w:lang w:val="ro-RO"/>
        </w:rPr>
        <w:t xml:space="preserve"> mai mult</w:t>
      </w:r>
      <w:r w:rsidR="00C75498">
        <w:rPr>
          <w:rFonts w:ascii="Times New Roman" w:hAnsi="Times New Roman"/>
          <w:lang w:val="ro-RO"/>
        </w:rPr>
        <w:t xml:space="preserve"> </w:t>
      </w:r>
      <w:r w:rsidR="00C75498" w:rsidRPr="00BB40BD">
        <w:rPr>
          <w:rFonts w:ascii="Times New Roman" w:hAnsi="Times New Roman"/>
          <w:lang w:val="ro-RO"/>
        </w:rPr>
        <w:t xml:space="preserve">ca în aceeași perioadă a anului </w:t>
      </w:r>
      <w:r w:rsidR="00C75498">
        <w:rPr>
          <w:rFonts w:ascii="Times New Roman" w:hAnsi="Times New Roman"/>
          <w:lang w:val="ro-RO"/>
        </w:rPr>
        <w:t>2018.</w:t>
      </w: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51708" w:rsidRP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096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637"/>
        <w:gridCol w:w="823"/>
        <w:gridCol w:w="822"/>
        <w:gridCol w:w="1097"/>
        <w:gridCol w:w="686"/>
        <w:gridCol w:w="960"/>
        <w:gridCol w:w="548"/>
        <w:gridCol w:w="1082"/>
        <w:gridCol w:w="564"/>
        <w:gridCol w:w="1097"/>
        <w:gridCol w:w="686"/>
        <w:gridCol w:w="960"/>
      </w:tblGrid>
      <w:tr w:rsidR="00151708" w:rsidRPr="00F3074A" w:rsidTr="00151708">
        <w:trPr>
          <w:trHeight w:val="1325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151708" w:rsidRPr="00151708" w:rsidTr="00151708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2172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1343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61,83%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8,86%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63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52,94%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47,06%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151708" w:rsidRPr="00151708" w:rsidTr="00151708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306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69,93%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4,67%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60,00%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40,00%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151708" w:rsidRPr="00151708" w:rsidTr="00151708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347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259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74,64%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5,02%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53,85%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46,15%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151708" w:rsidRPr="00151708" w:rsidTr="00151708">
        <w:trPr>
          <w:trHeight w:val="511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2825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1816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64,28%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7,82%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53,52%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46,48%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51708" w:rsidRPr="00151708" w:rsidRDefault="00151708" w:rsidP="001517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151708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0,00%</w:t>
            </w:r>
          </w:p>
        </w:tc>
      </w:tr>
    </w:tbl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1708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1708" w:rsidRPr="00385E33" w:rsidRDefault="00151708" w:rsidP="0015170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40D5F" w:rsidRDefault="00151708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5F7AE48" wp14:editId="4953D9A4">
            <wp:extent cx="6257925" cy="36576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21531" w:rsidRPr="00B120AE" w:rsidRDefault="00621531" w:rsidP="00153387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895B4F" w:rsidRPr="00367187" w:rsidRDefault="00895B4F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02613C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613C"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386DC0" w:rsidRPr="00626BDF" w:rsidRDefault="00CD6E75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(2a</w:t>
      </w:r>
      <w:r w:rsidR="00445D0B">
        <w:rPr>
          <w:rFonts w:ascii="Times New Roman" w:hAnsi="Times New Roman"/>
          <w:b/>
          <w:sz w:val="24"/>
          <w:szCs w:val="24"/>
          <w:lang w:val="ro-RO"/>
        </w:rPr>
        <w:t>c, 2rc</w:t>
      </w:r>
      <w:r w:rsidR="00895B4F"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FC5880">
        <w:rPr>
          <w:lang w:val="ro-RO"/>
        </w:rPr>
        <w:t>6 luni</w:t>
      </w:r>
      <w:r w:rsidR="00AC479B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626BDF">
        <w:rPr>
          <w:lang w:val="ro-RO"/>
        </w:rPr>
        <w:t xml:space="preserve"> spre examinare la Curtea de Apel Cahul s-au aflat în procedură </w:t>
      </w:r>
      <w:r w:rsidR="00445D0B">
        <w:rPr>
          <w:lang w:val="ro-RO"/>
        </w:rPr>
        <w:t>în total</w:t>
      </w:r>
      <w:r w:rsidR="00445D0B" w:rsidRPr="00626BDF">
        <w:rPr>
          <w:lang w:val="ro-RO"/>
        </w:rPr>
        <w:t xml:space="preserve"> </w:t>
      </w:r>
      <w:r w:rsidR="00F724AD">
        <w:rPr>
          <w:b/>
          <w:lang w:val="ro-RO"/>
        </w:rPr>
        <w:t>56</w:t>
      </w:r>
      <w:r w:rsidR="0036576F" w:rsidRPr="00626BDF">
        <w:rPr>
          <w:b/>
          <w:lang w:val="ro-RO"/>
        </w:rPr>
        <w:t xml:space="preserve"> </w:t>
      </w:r>
      <w:r w:rsidR="00445D0B" w:rsidRPr="00626BDF">
        <w:rPr>
          <w:b/>
          <w:lang w:val="ro-RO"/>
        </w:rPr>
        <w:t>cauze</w:t>
      </w:r>
      <w:r w:rsidR="00445D0B"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 xml:space="preserve">dintre care: </w:t>
      </w:r>
      <w:r w:rsidR="00445D0B">
        <w:rPr>
          <w:lang w:val="ro-RO"/>
        </w:rPr>
        <w:t xml:space="preserve"> </w:t>
      </w:r>
    </w:p>
    <w:p w:rsidR="00466C39" w:rsidRDefault="00445D0B" w:rsidP="00466C39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</w:t>
      </w:r>
      <w:r w:rsidR="00466C39" w:rsidRPr="00626BDF">
        <w:rPr>
          <w:i/>
          <w:lang w:val="ro-RO"/>
        </w:rPr>
        <w:t xml:space="preserve"> cu indicele 2a</w:t>
      </w:r>
      <w:r>
        <w:rPr>
          <w:i/>
          <w:lang w:val="ro-RO"/>
        </w:rPr>
        <w:t>c</w:t>
      </w:r>
      <w:r w:rsidR="00466C39" w:rsidRPr="00626BDF">
        <w:rPr>
          <w:i/>
          <w:lang w:val="ro-RO"/>
        </w:rPr>
        <w:t xml:space="preserve"> – </w:t>
      </w:r>
      <w:r w:rsidR="00F724AD">
        <w:rPr>
          <w:b/>
          <w:i/>
          <w:lang w:val="ro-RO"/>
        </w:rPr>
        <w:t>26</w:t>
      </w:r>
    </w:p>
    <w:p w:rsidR="00445D0B" w:rsidRPr="00445D0B" w:rsidRDefault="00445D0B" w:rsidP="00445D0B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 cu indicele 2rc</w:t>
      </w:r>
      <w:r w:rsidRPr="00626BDF">
        <w:rPr>
          <w:i/>
          <w:lang w:val="ro-RO"/>
        </w:rPr>
        <w:t xml:space="preserve"> – </w:t>
      </w:r>
      <w:r w:rsidR="00F724AD">
        <w:rPr>
          <w:b/>
          <w:i/>
          <w:lang w:val="ro-RO"/>
        </w:rPr>
        <w:t>30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>aflate în procedură în perioada raportată</w:t>
      </w:r>
      <w:r w:rsidRPr="00626BDF">
        <w:rPr>
          <w:b/>
          <w:lang w:val="ro-RO"/>
        </w:rPr>
        <w:t xml:space="preserve"> </w:t>
      </w:r>
      <w:r w:rsidR="00731419">
        <w:rPr>
          <w:b/>
          <w:lang w:val="ro-RO"/>
        </w:rPr>
        <w:t>16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F724AD">
        <w:rPr>
          <w:b/>
          <w:lang w:val="ro-RO"/>
        </w:rPr>
        <w:t>40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="002C3344">
        <w:rPr>
          <w:lang w:val="ro-RO"/>
        </w:rPr>
        <w:t xml:space="preserve"> </w:t>
      </w:r>
      <w:r w:rsidRPr="00626BDF">
        <w:rPr>
          <w:lang w:val="ro-RO"/>
        </w:rPr>
        <w:t>–</w:t>
      </w:r>
      <w:r w:rsidR="00A903F7" w:rsidRPr="00626BDF">
        <w:rPr>
          <w:lang w:val="ro-RO"/>
        </w:rPr>
        <w:t xml:space="preserve"> </w:t>
      </w:r>
      <w:r w:rsidR="00F724AD">
        <w:rPr>
          <w:b/>
          <w:lang w:val="ro-RO"/>
        </w:rPr>
        <w:t>46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F724AD">
        <w:rPr>
          <w:i/>
          <w:lang w:val="ro-RO"/>
        </w:rPr>
        <w:t>9</w:t>
      </w:r>
      <w:r w:rsidR="00277A91" w:rsidRPr="00626BDF">
        <w:rPr>
          <w:i/>
          <w:lang w:val="ro-RO"/>
        </w:rPr>
        <w:t xml:space="preserve"> cauze, strămutate la CSJ - </w:t>
      </w:r>
      <w:r w:rsidR="009222E2">
        <w:rPr>
          <w:i/>
          <w:lang w:val="ro-RO"/>
        </w:rPr>
        <w:t>1</w:t>
      </w:r>
      <w:r w:rsidR="00277A91" w:rsidRPr="00626BDF">
        <w:rPr>
          <w:i/>
          <w:lang w:val="ro-RO"/>
        </w:rPr>
        <w:t xml:space="preserve"> cauz</w:t>
      </w:r>
      <w:r w:rsidR="009222E2">
        <w:rPr>
          <w:i/>
          <w:lang w:val="ro-RO"/>
        </w:rPr>
        <w:t>ă</w:t>
      </w:r>
      <w:r w:rsidR="00922E07">
        <w:rPr>
          <w:i/>
          <w:lang w:val="ro-RO"/>
        </w:rPr>
        <w:t>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F24084">
        <w:rPr>
          <w:lang w:val="ro-RO"/>
        </w:rPr>
        <w:t>lor pendinte la sfâ</w:t>
      </w:r>
      <w:r w:rsidRPr="00626BDF">
        <w:rPr>
          <w:lang w:val="ro-RO"/>
        </w:rPr>
        <w:t xml:space="preserve">rșitul perioadei raportate constituie </w:t>
      </w:r>
      <w:r w:rsidR="00F724AD">
        <w:rPr>
          <w:b/>
          <w:lang w:val="ro-RO"/>
        </w:rPr>
        <w:t>10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>comerciale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F724AD">
        <w:rPr>
          <w:b/>
          <w:lang w:val="ro-RO"/>
        </w:rPr>
        <w:t>115,00</w:t>
      </w:r>
      <w:r w:rsidR="00F344B9">
        <w:rPr>
          <w:b/>
          <w:lang w:val="ro-RO"/>
        </w:rPr>
        <w:t>%</w:t>
      </w:r>
      <w:r w:rsidR="004B02F8">
        <w:rPr>
          <w:lang w:val="ro-RO"/>
        </w:rPr>
        <w:t xml:space="preserve"> </w:t>
      </w: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F24084">
        <w:rPr>
          <w:lang w:val="ro-RO"/>
        </w:rPr>
        <w:t>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F724AD">
        <w:rPr>
          <w:b/>
          <w:lang w:val="ro-RO"/>
        </w:rPr>
        <w:t>39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</w:t>
      </w:r>
    </w:p>
    <w:p w:rsidR="00385E33" w:rsidRPr="00B17B71" w:rsidRDefault="00CA4DE3" w:rsidP="00F724AD">
      <w:pPr>
        <w:ind w:right="-1"/>
        <w:rPr>
          <w:lang w:val="ro-RO"/>
        </w:rPr>
      </w:pPr>
      <w:r w:rsidRPr="00B17B71">
        <w:rPr>
          <w:lang w:val="ro-RO"/>
        </w:rPr>
        <w:t xml:space="preserve">Numărul de cauze </w:t>
      </w:r>
      <w:r w:rsidR="00445D0B" w:rsidRPr="00B17B71">
        <w:rPr>
          <w:lang w:val="ro-RO"/>
        </w:rPr>
        <w:t>comerciale</w:t>
      </w:r>
      <w:r w:rsidRPr="00B17B71">
        <w:rPr>
          <w:lang w:val="ro-RO"/>
        </w:rPr>
        <w:t xml:space="preserve"> exam</w:t>
      </w:r>
      <w:r w:rsidR="000A6FB2" w:rsidRPr="00B17B71">
        <w:rPr>
          <w:lang w:val="ro-RO"/>
        </w:rPr>
        <w:t xml:space="preserve">inate de un judecător în mediu </w:t>
      </w:r>
      <w:r w:rsidRPr="00B17B71">
        <w:rPr>
          <w:lang w:val="ro-RO"/>
        </w:rPr>
        <w:t xml:space="preserve">constituie </w:t>
      </w:r>
      <w:r w:rsidR="00F724AD" w:rsidRPr="00B17B71">
        <w:rPr>
          <w:b/>
          <w:lang w:val="ro-RO"/>
        </w:rPr>
        <w:t>5</w:t>
      </w:r>
      <w:r w:rsidR="00F24084" w:rsidRPr="00B17B71">
        <w:rPr>
          <w:b/>
          <w:lang w:val="ro-RO"/>
        </w:rPr>
        <w:t xml:space="preserve"> </w:t>
      </w:r>
      <w:r w:rsidR="00E72FFC" w:rsidRPr="00B17B71">
        <w:rPr>
          <w:b/>
          <w:lang w:val="ro-RO"/>
        </w:rPr>
        <w:t>cauze</w:t>
      </w:r>
      <w:r w:rsidR="008E6B42" w:rsidRPr="00B17B71">
        <w:rPr>
          <w:b/>
          <w:lang w:val="ro-RO"/>
        </w:rPr>
        <w:t>.</w:t>
      </w:r>
      <w:r w:rsidR="00F344B9" w:rsidRPr="00B17B71">
        <w:rPr>
          <w:b/>
          <w:lang w:val="ro-RO"/>
        </w:rPr>
        <w:t xml:space="preserve"> </w:t>
      </w:r>
    </w:p>
    <w:p w:rsidR="00385E33" w:rsidRPr="00B17B71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466C39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445D0B" w:rsidRPr="00445D0B">
        <w:rPr>
          <w:rFonts w:ascii="Times New Roman" w:hAnsi="Times New Roman"/>
          <w:i/>
          <w:sz w:val="24"/>
          <w:szCs w:val="24"/>
          <w:lang w:val="ro-RO"/>
        </w:rPr>
        <w:t>comerciale</w:t>
      </w:r>
      <w:r w:rsidR="00445D0B">
        <w:rPr>
          <w:b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8118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B774FD" w:rsidRPr="00626BDF" w:rsidRDefault="00B774FD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FF2CFE" w:rsidRPr="00B120AE" w:rsidRDefault="00F724AD" w:rsidP="001C1289">
      <w:pPr>
        <w:pStyle w:val="a5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7209F51" wp14:editId="471D895C">
            <wp:extent cx="5637437" cy="3099466"/>
            <wp:effectExtent l="0" t="0" r="1905" b="5715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308EB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Pr="00B120AE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F724AD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D5F27AD" wp14:editId="51AEC3C8">
            <wp:extent cx="6458733" cy="3053220"/>
            <wp:effectExtent l="0" t="0" r="18415" b="1397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62E2E" w:rsidRPr="00B120A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91A44" w:rsidRPr="00F72F68" w:rsidRDefault="00F724AD" w:rsidP="00F72F6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AEDDD41" wp14:editId="7DB495D2">
            <wp:extent cx="5545377" cy="3209795"/>
            <wp:effectExtent l="0" t="0" r="17780" b="1016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CD0341" w:rsidRDefault="00CD034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0341" w:rsidRDefault="00CD034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27878" w:rsidRPr="00D26D77" w:rsidRDefault="009F117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26D77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D26D77">
        <w:rPr>
          <w:b/>
          <w:sz w:val="24"/>
          <w:szCs w:val="24"/>
          <w:lang w:val="ro-RO"/>
        </w:rPr>
        <w:t xml:space="preserve"> </w:t>
      </w:r>
      <w:r w:rsidR="008D5424" w:rsidRPr="00D26D77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D26D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5424" w:rsidRPr="00D26D77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D26D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3048B" w:rsidRPr="00D26D77">
        <w:rPr>
          <w:rFonts w:ascii="Times New Roman" w:hAnsi="Times New Roman"/>
          <w:b/>
          <w:sz w:val="24"/>
          <w:szCs w:val="24"/>
          <w:lang w:val="ro-RO"/>
        </w:rPr>
        <w:t>cu indicele (2ac, 2rc</w:t>
      </w:r>
      <w:r w:rsidR="00327878" w:rsidRPr="00D26D7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D37DE2" w:rsidRPr="00D26D77">
        <w:rPr>
          <w:rFonts w:ascii="Times New Roman" w:hAnsi="Times New Roman"/>
          <w:b/>
          <w:sz w:val="24"/>
          <w:szCs w:val="24"/>
          <w:lang w:val="ro-RO"/>
        </w:rPr>
        <w:t xml:space="preserve">parvenite </w:t>
      </w:r>
      <w:r w:rsidRPr="00D26D77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D26D77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F72F68" w:rsidRPr="00F724AD" w:rsidRDefault="00F72F68" w:rsidP="00832DF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621531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F148E">
        <w:rPr>
          <w:rFonts w:ascii="Times New Roman" w:hAnsi="Times New Roman"/>
          <w:b/>
          <w:sz w:val="24"/>
          <w:szCs w:val="24"/>
          <w:lang w:val="ro-RO"/>
        </w:rPr>
        <w:t>29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 w:rsidR="000F148E">
        <w:rPr>
          <w:rFonts w:ascii="Times New Roman" w:hAnsi="Times New Roman"/>
          <w:b/>
          <w:lang w:val="ro-RO"/>
        </w:rPr>
        <w:t>15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2843F4"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 w:rsidR="000F148E">
        <w:rPr>
          <w:rFonts w:ascii="Times New Roman" w:hAnsi="Times New Roman"/>
          <w:b/>
          <w:lang w:val="ro-RO"/>
        </w:rPr>
        <w:t>15</w:t>
      </w:r>
      <w:r w:rsidRPr="002843F4">
        <w:rPr>
          <w:rFonts w:ascii="Times New Roman" w:hAnsi="Times New Roman"/>
          <w:lang w:val="ro-RO"/>
        </w:rPr>
        <w:t xml:space="preserve"> cauze (</w:t>
      </w:r>
      <w:r w:rsidR="000F148E">
        <w:rPr>
          <w:rFonts w:ascii="Times New Roman" w:hAnsi="Times New Roman"/>
          <w:lang w:val="ro-RO"/>
        </w:rPr>
        <w:t>51,72</w:t>
      </w:r>
      <w:r w:rsidRPr="002843F4">
        <w:rPr>
          <w:rFonts w:ascii="Times New Roman" w:hAnsi="Times New Roman"/>
          <w:lang w:val="ro-RO"/>
        </w:rPr>
        <w:t xml:space="preserve">%), cu  </w:t>
      </w:r>
      <w:r w:rsidR="000F148E">
        <w:rPr>
          <w:rFonts w:ascii="Times New Roman" w:hAnsi="Times New Roman"/>
          <w:b/>
          <w:lang w:val="ro-RO"/>
        </w:rPr>
        <w:t>10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Pr="000F148E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 w:rsidR="000F148E">
        <w:rPr>
          <w:rFonts w:ascii="Times New Roman" w:hAnsi="Times New Roman"/>
          <w:b/>
          <w:lang w:val="ro-RO"/>
        </w:rPr>
        <w:t>14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0F148E">
        <w:rPr>
          <w:rFonts w:ascii="Times New Roman" w:hAnsi="Times New Roman"/>
          <w:lang w:val="ro-RO"/>
        </w:rPr>
        <w:t>48,28</w:t>
      </w:r>
      <w:r w:rsidRPr="004C7FB3">
        <w:rPr>
          <w:rFonts w:ascii="Times New Roman" w:hAnsi="Times New Roman"/>
          <w:lang w:val="ro-RO"/>
        </w:rPr>
        <w:t xml:space="preserve"> %), cu </w:t>
      </w:r>
      <w:r w:rsidR="000F148E">
        <w:rPr>
          <w:rFonts w:ascii="Times New Roman" w:hAnsi="Times New Roman"/>
          <w:b/>
          <w:lang w:val="ro-RO"/>
        </w:rPr>
        <w:t>6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0F148E" w:rsidRPr="000F148E" w:rsidRDefault="000F148E" w:rsidP="000F148E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lang w:val="ro-RO"/>
        </w:rPr>
        <w:t xml:space="preserve">modificate – 0 (0%), </w:t>
      </w:r>
      <w:r w:rsidRPr="004C7FB3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puțin</w:t>
      </w:r>
      <w:r w:rsidRPr="004C7FB3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621531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F148E">
        <w:rPr>
          <w:rFonts w:ascii="Times New Roman" w:hAnsi="Times New Roman"/>
          <w:b/>
          <w:sz w:val="24"/>
          <w:szCs w:val="24"/>
          <w:lang w:val="ro-RO"/>
        </w:rPr>
        <w:t>3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0F148E">
        <w:rPr>
          <w:rFonts w:ascii="Times New Roman" w:hAnsi="Times New Roman"/>
          <w:sz w:val="24"/>
          <w:szCs w:val="24"/>
          <w:lang w:val="ro-RO"/>
        </w:rPr>
        <w:t>la fel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 w:rsidR="000F148E">
        <w:rPr>
          <w:rFonts w:ascii="Times New Roman" w:hAnsi="Times New Roman"/>
          <w:b/>
          <w:lang w:val="ro-RO"/>
        </w:rPr>
        <w:t>1</w:t>
      </w:r>
      <w:r w:rsidR="000F148E">
        <w:rPr>
          <w:rFonts w:ascii="Times New Roman" w:hAnsi="Times New Roman"/>
          <w:lang w:val="ro-RO"/>
        </w:rPr>
        <w:t xml:space="preserve"> cauză</w:t>
      </w:r>
      <w:r w:rsidRPr="002843F4">
        <w:rPr>
          <w:rFonts w:ascii="Times New Roman" w:hAnsi="Times New Roman"/>
          <w:lang w:val="ro-RO"/>
        </w:rPr>
        <w:t xml:space="preserve"> (</w:t>
      </w:r>
      <w:r w:rsidR="000F148E">
        <w:rPr>
          <w:rFonts w:ascii="Times New Roman" w:hAnsi="Times New Roman"/>
          <w:lang w:val="ro-RO"/>
        </w:rPr>
        <w:t>33,33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0F148E">
        <w:rPr>
          <w:rFonts w:ascii="Times New Roman" w:hAnsi="Times New Roman"/>
          <w:b/>
          <w:szCs w:val="24"/>
          <w:lang w:val="ro-RO"/>
        </w:rPr>
        <w:t>2</w:t>
      </w:r>
      <w:r w:rsidR="00C86F7C">
        <w:rPr>
          <w:rFonts w:ascii="Times New Roman" w:hAnsi="Times New Roman"/>
          <w:szCs w:val="24"/>
          <w:lang w:val="ro-RO"/>
        </w:rPr>
        <w:t xml:space="preserve"> cauz</w:t>
      </w:r>
      <w:r w:rsidR="000F148E">
        <w:rPr>
          <w:rFonts w:ascii="Times New Roman" w:hAnsi="Times New Roman"/>
          <w:szCs w:val="24"/>
          <w:lang w:val="ro-RO"/>
        </w:rPr>
        <w:t>e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 w:rsidR="00C86F7C">
        <w:rPr>
          <w:rFonts w:ascii="Times New Roman" w:hAnsi="Times New Roman"/>
          <w:lang w:val="ro-RO"/>
        </w:rPr>
        <w:t>puțin</w:t>
      </w:r>
      <w:r w:rsidRPr="004C7FB3">
        <w:rPr>
          <w:rFonts w:ascii="Times New Roman" w:hAnsi="Times New Roman"/>
          <w:szCs w:val="24"/>
          <w:lang w:val="ro-RO"/>
        </w:rPr>
        <w:t xml:space="preserve"> ca </w:t>
      </w:r>
      <w:r w:rsidRPr="002843F4">
        <w:rPr>
          <w:rFonts w:ascii="Times New Roman" w:hAnsi="Times New Roman"/>
          <w:lang w:val="ro-RO"/>
        </w:rPr>
        <w:t xml:space="preserve">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Pr="002D082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C86F7C">
        <w:rPr>
          <w:rFonts w:ascii="Times New Roman" w:hAnsi="Times New Roman"/>
          <w:b/>
          <w:lang w:val="ro-RO"/>
        </w:rPr>
        <w:t>2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0F148E">
        <w:rPr>
          <w:rFonts w:ascii="Times New Roman" w:hAnsi="Times New Roman"/>
          <w:lang w:val="ro-RO"/>
        </w:rPr>
        <w:t>66,67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C86F7C">
        <w:rPr>
          <w:rFonts w:ascii="Times New Roman" w:hAnsi="Times New Roman"/>
          <w:b/>
          <w:szCs w:val="24"/>
          <w:lang w:val="ro-RO"/>
        </w:rPr>
        <w:t>2</w:t>
      </w:r>
      <w:r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 w:rsidR="00C86F7C">
        <w:rPr>
          <w:rFonts w:ascii="Times New Roman" w:hAnsi="Times New Roman"/>
          <w:szCs w:val="24"/>
          <w:lang w:val="ro-RO"/>
        </w:rPr>
        <w:t>mult</w:t>
      </w:r>
      <w:r w:rsidRPr="004C7FB3">
        <w:rPr>
          <w:rFonts w:ascii="Times New Roman" w:hAnsi="Times New Roman"/>
          <w:szCs w:val="24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2D0821" w:rsidRPr="00A84A63" w:rsidRDefault="002D082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0F148E">
        <w:rPr>
          <w:rFonts w:ascii="Times New Roman" w:hAnsi="Times New Roman"/>
          <w:b/>
          <w:sz w:val="24"/>
          <w:szCs w:val="24"/>
          <w:lang w:val="ro-RO"/>
        </w:rPr>
        <w:t>2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F148E">
        <w:rPr>
          <w:rFonts w:ascii="Times New Roman" w:hAnsi="Times New Roman"/>
          <w:sz w:val="24"/>
          <w:szCs w:val="24"/>
          <w:lang w:val="ro-RO"/>
        </w:rPr>
        <w:t>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3763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 cauză mai 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>mult</w:t>
      </w:r>
      <w:r w:rsidR="00611911" w:rsidRPr="00A84A63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A84A63">
        <w:rPr>
          <w:rFonts w:ascii="Times New Roman" w:hAnsi="Times New Roman"/>
          <w:sz w:val="24"/>
          <w:szCs w:val="24"/>
          <w:lang w:val="ro-RO"/>
        </w:rPr>
        <w:t>,</w:t>
      </w:r>
    </w:p>
    <w:p w:rsidR="00C86F7C" w:rsidRPr="00C86F7C" w:rsidRDefault="002D0821" w:rsidP="000F148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86F7C">
        <w:rPr>
          <w:rFonts w:ascii="Times New Roman" w:hAnsi="Times New Roman"/>
          <w:lang w:val="ro-RO"/>
        </w:rPr>
        <w:t>menținute fără modificări –</w:t>
      </w:r>
      <w:r w:rsidRPr="00C86F7C">
        <w:rPr>
          <w:rFonts w:ascii="Times New Roman" w:hAnsi="Times New Roman"/>
          <w:b/>
          <w:lang w:val="ro-RO"/>
        </w:rPr>
        <w:t xml:space="preserve"> </w:t>
      </w:r>
      <w:r w:rsidR="000F148E">
        <w:rPr>
          <w:rFonts w:ascii="Times New Roman" w:hAnsi="Times New Roman"/>
          <w:b/>
          <w:lang w:val="ro-RO"/>
        </w:rPr>
        <w:t>1</w:t>
      </w:r>
      <w:r w:rsidRPr="00C86F7C">
        <w:rPr>
          <w:rFonts w:ascii="Times New Roman" w:hAnsi="Times New Roman"/>
          <w:lang w:val="ro-RO"/>
        </w:rPr>
        <w:t xml:space="preserve"> cauz</w:t>
      </w:r>
      <w:r w:rsidR="000F148E">
        <w:rPr>
          <w:rFonts w:ascii="Times New Roman" w:hAnsi="Times New Roman"/>
          <w:lang w:val="ro-RO"/>
        </w:rPr>
        <w:t>ă</w:t>
      </w:r>
      <w:r w:rsidRPr="00C86F7C">
        <w:rPr>
          <w:rFonts w:ascii="Times New Roman" w:hAnsi="Times New Roman"/>
          <w:lang w:val="ro-RO"/>
        </w:rPr>
        <w:t xml:space="preserve"> (</w:t>
      </w:r>
      <w:r w:rsidR="000F148E">
        <w:rPr>
          <w:rFonts w:ascii="Times New Roman" w:hAnsi="Times New Roman"/>
          <w:lang w:val="ro-RO"/>
        </w:rPr>
        <w:t>50</w:t>
      </w:r>
      <w:r w:rsidRPr="00C86F7C">
        <w:rPr>
          <w:rFonts w:ascii="Times New Roman" w:hAnsi="Times New Roman"/>
          <w:lang w:val="ro-RO"/>
        </w:rPr>
        <w:t xml:space="preserve">%), </w:t>
      </w:r>
      <w:r w:rsidR="000F148E">
        <w:rPr>
          <w:rFonts w:ascii="Times New Roman" w:hAnsi="Times New Roman"/>
          <w:sz w:val="24"/>
          <w:szCs w:val="24"/>
          <w:lang w:val="ro-RO"/>
        </w:rPr>
        <w:t>la fel</w:t>
      </w:r>
      <w:r w:rsidR="000F148E"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0F148E">
        <w:rPr>
          <w:rFonts w:ascii="Times New Roman" w:hAnsi="Times New Roman"/>
          <w:sz w:val="24"/>
          <w:szCs w:val="24"/>
          <w:lang w:val="ro-RO"/>
        </w:rPr>
        <w:t>2018,</w:t>
      </w:r>
    </w:p>
    <w:p w:rsidR="002D0821" w:rsidRPr="000F148E" w:rsidRDefault="002D0821" w:rsidP="00FC5880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86F7C">
        <w:rPr>
          <w:rFonts w:ascii="Times New Roman" w:hAnsi="Times New Roman"/>
          <w:lang w:val="ro-RO"/>
        </w:rPr>
        <w:t xml:space="preserve">casate – </w:t>
      </w:r>
      <w:r w:rsidR="00C86F7C" w:rsidRPr="000F148E">
        <w:rPr>
          <w:rFonts w:ascii="Times New Roman" w:hAnsi="Times New Roman"/>
          <w:b/>
          <w:lang w:val="ro-RO"/>
        </w:rPr>
        <w:t>1</w:t>
      </w:r>
      <w:r w:rsidRPr="00C86F7C">
        <w:rPr>
          <w:rFonts w:ascii="Times New Roman" w:hAnsi="Times New Roman"/>
          <w:b/>
          <w:lang w:val="ro-RO"/>
        </w:rPr>
        <w:t xml:space="preserve"> </w:t>
      </w:r>
      <w:r w:rsidR="00C86F7C" w:rsidRPr="00C86F7C">
        <w:rPr>
          <w:rFonts w:ascii="Times New Roman" w:hAnsi="Times New Roman"/>
          <w:lang w:val="ro-RO"/>
        </w:rPr>
        <w:t>cauză</w:t>
      </w:r>
      <w:r w:rsidR="00237633" w:rsidRPr="00C86F7C">
        <w:rPr>
          <w:rFonts w:ascii="Times New Roman" w:hAnsi="Times New Roman"/>
          <w:lang w:val="ro-RO"/>
        </w:rPr>
        <w:t xml:space="preserve"> </w:t>
      </w:r>
      <w:r w:rsidRPr="00C86F7C">
        <w:rPr>
          <w:rFonts w:ascii="Times New Roman" w:hAnsi="Times New Roman"/>
          <w:lang w:val="ro-RO"/>
        </w:rPr>
        <w:t>(</w:t>
      </w:r>
      <w:r w:rsidR="000F148E">
        <w:rPr>
          <w:rFonts w:ascii="Times New Roman" w:hAnsi="Times New Roman"/>
          <w:lang w:val="ro-RO"/>
        </w:rPr>
        <w:t>50</w:t>
      </w:r>
      <w:r w:rsidR="00AE2843" w:rsidRPr="00C86F7C">
        <w:rPr>
          <w:rFonts w:ascii="Times New Roman" w:hAnsi="Times New Roman"/>
          <w:lang w:val="ro-RO"/>
        </w:rPr>
        <w:t>%)</w:t>
      </w:r>
      <w:r w:rsidRPr="00C86F7C">
        <w:rPr>
          <w:rFonts w:ascii="Times New Roman" w:hAnsi="Times New Roman"/>
          <w:lang w:val="ro-RO"/>
        </w:rPr>
        <w:t xml:space="preserve">, </w:t>
      </w:r>
      <w:r w:rsidR="00C86F7C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C86F7C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C86F7C" w:rsidRPr="00A84A63">
        <w:rPr>
          <w:rFonts w:ascii="Times New Roman" w:hAnsi="Times New Roman"/>
          <w:sz w:val="24"/>
          <w:szCs w:val="24"/>
          <w:lang w:val="ro-RO"/>
        </w:rPr>
        <w:t xml:space="preserve"> cauză mai mult</w:t>
      </w:r>
      <w:r w:rsidR="00C86F7C" w:rsidRPr="00A84A63">
        <w:rPr>
          <w:rFonts w:ascii="Times New Roman" w:hAnsi="Times New Roman"/>
          <w:lang w:val="ro-RO"/>
        </w:rPr>
        <w:t xml:space="preserve"> </w:t>
      </w:r>
      <w:r w:rsidRPr="00C86F7C">
        <w:rPr>
          <w:rFonts w:ascii="Times New Roman" w:hAnsi="Times New Roman"/>
          <w:lang w:val="ro-RO"/>
        </w:rPr>
        <w:t xml:space="preserve">ca în aceeași perioadă a anului </w:t>
      </w:r>
      <w:r w:rsidR="0028196B" w:rsidRPr="00C86F7C">
        <w:rPr>
          <w:rFonts w:ascii="Times New Roman" w:hAnsi="Times New Roman"/>
          <w:lang w:val="ro-RO"/>
        </w:rPr>
        <w:t>2018</w:t>
      </w:r>
      <w:r w:rsidRPr="00C86F7C">
        <w:rPr>
          <w:rFonts w:ascii="Times New Roman" w:hAnsi="Times New Roman"/>
          <w:lang w:val="ro-RO"/>
        </w:rPr>
        <w:t>,</w:t>
      </w:r>
      <w:r w:rsidR="00611911" w:rsidRPr="00C86F7C">
        <w:rPr>
          <w:rFonts w:ascii="Times New Roman" w:hAnsi="Times New Roman"/>
          <w:lang w:val="ro-RO"/>
        </w:rPr>
        <w:t xml:space="preserve"> </w:t>
      </w:r>
      <w:r w:rsidR="00C86F7C">
        <w:rPr>
          <w:rFonts w:ascii="Times New Roman" w:hAnsi="Times New Roman"/>
          <w:lang w:val="ro-RO"/>
        </w:rPr>
        <w:t xml:space="preserve"> </w:t>
      </w:r>
    </w:p>
    <w:p w:rsidR="000F148E" w:rsidRPr="00A84A63" w:rsidRDefault="000F148E" w:rsidP="000F148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Cimișlia</w:t>
      </w: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 mai mult</w:t>
      </w:r>
      <w:r w:rsidRPr="00A84A63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</w:t>
      </w:r>
      <w:r w:rsidRPr="00A84A63">
        <w:rPr>
          <w:rFonts w:ascii="Times New Roman" w:hAnsi="Times New Roman"/>
          <w:sz w:val="24"/>
          <w:szCs w:val="24"/>
          <w:lang w:val="ro-RO"/>
        </w:rPr>
        <w:t>,</w:t>
      </w:r>
    </w:p>
    <w:p w:rsidR="000F148E" w:rsidRPr="00C86F7C" w:rsidRDefault="000F148E" w:rsidP="000F148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86F7C">
        <w:rPr>
          <w:rFonts w:ascii="Times New Roman" w:hAnsi="Times New Roman"/>
          <w:lang w:val="ro-RO"/>
        </w:rPr>
        <w:t>menținute fără modificări –</w:t>
      </w:r>
      <w:r w:rsidRPr="00C86F7C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0</w:t>
      </w:r>
      <w:r w:rsidRPr="00C86F7C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e</w:t>
      </w:r>
      <w:r w:rsidRPr="00C86F7C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0</w:t>
      </w:r>
      <w:r w:rsidRPr="00C86F7C">
        <w:rPr>
          <w:rFonts w:ascii="Times New Roman" w:hAnsi="Times New Roman"/>
          <w:lang w:val="ro-RO"/>
        </w:rPr>
        <w:t xml:space="preserve">%), </w:t>
      </w:r>
      <w:r>
        <w:rPr>
          <w:rFonts w:ascii="Times New Roman" w:hAnsi="Times New Roman"/>
          <w:sz w:val="24"/>
          <w:szCs w:val="24"/>
          <w:lang w:val="ro-RO"/>
        </w:rPr>
        <w:t>la fel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2018,</w:t>
      </w:r>
    </w:p>
    <w:p w:rsidR="000F148E" w:rsidRPr="00C86F7C" w:rsidRDefault="000F148E" w:rsidP="000F148E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86F7C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2</w:t>
      </w:r>
      <w:r w:rsidRPr="00C86F7C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cauze</w:t>
      </w:r>
      <w:r w:rsidRPr="00C86F7C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100</w:t>
      </w:r>
      <w:r w:rsidRPr="00C86F7C">
        <w:rPr>
          <w:rFonts w:ascii="Times New Roman" w:hAnsi="Times New Roman"/>
          <w:lang w:val="ro-RO"/>
        </w:rPr>
        <w:t xml:space="preserve">%),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 mai mult</w:t>
      </w:r>
      <w:r w:rsidRPr="00A84A63">
        <w:rPr>
          <w:rFonts w:ascii="Times New Roman" w:hAnsi="Times New Roman"/>
          <w:lang w:val="ro-RO"/>
        </w:rPr>
        <w:t xml:space="preserve"> </w:t>
      </w:r>
      <w:r w:rsidRPr="00C86F7C">
        <w:rPr>
          <w:rFonts w:ascii="Times New Roman" w:hAnsi="Times New Roman"/>
          <w:lang w:val="ro-RO"/>
        </w:rPr>
        <w:t xml:space="preserve">ca în aceeași perioadă a anului 2018, </w:t>
      </w:r>
      <w:r>
        <w:rPr>
          <w:rFonts w:ascii="Times New Roman" w:hAnsi="Times New Roman"/>
          <w:lang w:val="ro-RO"/>
        </w:rPr>
        <w:t xml:space="preserve"> </w:t>
      </w:r>
    </w:p>
    <w:p w:rsidR="000F148E" w:rsidRPr="00C86F7C" w:rsidRDefault="000F148E" w:rsidP="000F148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C7FB3" w:rsidRPr="00A84A63" w:rsidRDefault="004C7FB3" w:rsidP="00D26D7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13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1"/>
        <w:gridCol w:w="859"/>
        <w:gridCol w:w="857"/>
        <w:gridCol w:w="1244"/>
        <w:gridCol w:w="602"/>
        <w:gridCol w:w="989"/>
        <w:gridCol w:w="637"/>
        <w:gridCol w:w="1209"/>
        <w:gridCol w:w="711"/>
        <w:gridCol w:w="1266"/>
        <w:gridCol w:w="581"/>
        <w:gridCol w:w="994"/>
      </w:tblGrid>
      <w:tr w:rsidR="00423750" w:rsidRPr="00F3074A" w:rsidTr="00320DC1">
        <w:trPr>
          <w:trHeight w:val="1421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Instanțe Judecătorești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Repartizate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Examinate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Rată de examinare  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Contestate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Rată, contestate din examinate %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Casate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F3074A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color w:val="000000"/>
                <w:sz w:val="22"/>
                <w:lang w:val="en-US"/>
              </w:rPr>
              <w:t>Rată, casate din cele contestate %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Menținute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F3074A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color w:val="000000"/>
                <w:sz w:val="22"/>
                <w:lang w:val="en-US"/>
              </w:rPr>
              <w:t>Rată, menținute din cele contestate %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423750">
              <w:rPr>
                <w:rFonts w:eastAsia="Times New Roman" w:cs="Times New Roman"/>
                <w:color w:val="000000"/>
                <w:sz w:val="22"/>
              </w:rPr>
              <w:t>Modificate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3750" w:rsidRPr="00F3074A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423750" w:rsidRPr="00423750" w:rsidTr="00320DC1">
        <w:trPr>
          <w:trHeight w:val="604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23750">
              <w:rPr>
                <w:rFonts w:eastAsia="Times New Roman" w:cs="Times New Roman"/>
                <w:b/>
                <w:bCs/>
                <w:color w:val="000000"/>
                <w:szCs w:val="24"/>
              </w:rPr>
              <w:t>Jud. Cahul sediul Central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2402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1770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73,69%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61,70%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48,28%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51,72%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423750" w:rsidRPr="00423750" w:rsidTr="00320DC1">
        <w:trPr>
          <w:trHeight w:val="604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Jud. Cahul cu sediul în or. </w:t>
            </w:r>
            <w:r w:rsidRPr="00423750">
              <w:rPr>
                <w:rFonts w:eastAsia="Times New Roman" w:cs="Times New Roman"/>
                <w:b/>
                <w:bCs/>
                <w:color w:val="000000"/>
                <w:szCs w:val="24"/>
              </w:rPr>
              <w:t>Cantemir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1136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745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65,58%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0,00%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#ДЕЛ/0!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#ДЕЛ/0!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#ДЕЛ/0!</w:t>
            </w:r>
          </w:p>
        </w:tc>
      </w:tr>
      <w:tr w:rsidR="00423750" w:rsidRPr="00423750" w:rsidTr="00320DC1">
        <w:trPr>
          <w:trHeight w:val="604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Jud. Cahul cu sediul în or. </w:t>
            </w:r>
            <w:r w:rsidRPr="00423750">
              <w:rPr>
                <w:rFonts w:eastAsia="Times New Roman" w:cs="Times New Roman"/>
                <w:b/>
                <w:bCs/>
                <w:color w:val="000000"/>
                <w:szCs w:val="24"/>
              </w:rPr>
              <w:t>Taraclia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578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431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74,57%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20,00%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66,67%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33,33%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23750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423750" w:rsidRPr="00423750" w:rsidTr="00320DC1">
        <w:trPr>
          <w:trHeight w:val="54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3750" w:rsidRPr="00F3074A" w:rsidRDefault="00423750" w:rsidP="0042375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TOTAL cauze în Instanțe Judecătorești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4116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2946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71,57%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1,09%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50,00%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50,00%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23750" w:rsidRPr="00423750" w:rsidRDefault="00423750" w:rsidP="004237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2375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0,00%</w:t>
            </w:r>
          </w:p>
        </w:tc>
      </w:tr>
    </w:tbl>
    <w:p w:rsidR="00A33A6F" w:rsidRDefault="00A33A6F" w:rsidP="00184610">
      <w:pPr>
        <w:pStyle w:val="a5"/>
        <w:tabs>
          <w:tab w:val="left" w:pos="142"/>
        </w:tabs>
        <w:ind w:left="720" w:right="-1"/>
        <w:jc w:val="both"/>
        <w:rPr>
          <w:noProof/>
        </w:rPr>
      </w:pPr>
    </w:p>
    <w:p w:rsidR="00320DC1" w:rsidRDefault="00320DC1" w:rsidP="00184610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D7C21" w:rsidRDefault="00320DC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FD47EA5" wp14:editId="060B4721">
            <wp:extent cx="6143625" cy="36195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826B3" w:rsidRDefault="00A826B3" w:rsidP="00611911">
      <w:pPr>
        <w:ind w:right="-1" w:firstLine="0"/>
        <w:rPr>
          <w:b/>
          <w:i/>
          <w:lang w:val="ro-RO"/>
        </w:rPr>
      </w:pPr>
    </w:p>
    <w:p w:rsidR="00A826B3" w:rsidRPr="00626BDF" w:rsidRDefault="00A826B3" w:rsidP="00CD6E75">
      <w:pPr>
        <w:ind w:right="-1"/>
        <w:rPr>
          <w:i/>
          <w:lang w:val="ro-RO"/>
        </w:rPr>
      </w:pPr>
    </w:p>
    <w:p w:rsidR="00552828" w:rsidRDefault="0055282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3048B" w:rsidRPr="0083048B" w:rsidRDefault="008565D7" w:rsidP="0083048B">
      <w:pPr>
        <w:pStyle w:val="a5"/>
        <w:numPr>
          <w:ilvl w:val="1"/>
          <w:numId w:val="9"/>
        </w:numPr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83048B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F31EC3">
        <w:rPr>
          <w:rFonts w:ascii="Times New Roman" w:hAnsi="Times New Roman"/>
          <w:b/>
          <w:sz w:val="24"/>
          <w:szCs w:val="24"/>
          <w:lang w:val="ro-RO"/>
        </w:rPr>
        <w:t>de</w:t>
      </w:r>
      <w:r w:rsidR="0083048B" w:rsidRPr="0083048B">
        <w:rPr>
          <w:rFonts w:ascii="Times New Roman" w:hAnsi="Times New Roman"/>
          <w:b/>
          <w:sz w:val="24"/>
          <w:szCs w:val="24"/>
          <w:lang w:val="ro-RO"/>
        </w:rPr>
        <w:t xml:space="preserve"> contencios administrativ de către Curtea de Apel Cahul</w:t>
      </w:r>
      <w:r w:rsidR="0083048B" w:rsidRPr="0083048B">
        <w:rPr>
          <w:i/>
          <w:lang w:val="ro-RO"/>
        </w:rPr>
        <w:t xml:space="preserve"> </w:t>
      </w:r>
    </w:p>
    <w:p w:rsidR="008565D7" w:rsidRPr="0083048B" w:rsidRDefault="0083048B" w:rsidP="0083048B">
      <w:pPr>
        <w:pStyle w:val="a5"/>
        <w:tabs>
          <w:tab w:val="left" w:pos="142"/>
        </w:tabs>
        <w:ind w:left="1065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</w:t>
      </w:r>
      <w:r w:rsidR="00F724AD">
        <w:rPr>
          <w:rFonts w:ascii="Times New Roman" w:hAnsi="Times New Roman"/>
          <w:b/>
          <w:sz w:val="24"/>
          <w:szCs w:val="24"/>
          <w:lang w:val="ro-RO"/>
        </w:rPr>
        <w:t>3,</w:t>
      </w:r>
      <w:r>
        <w:rPr>
          <w:rFonts w:ascii="Times New Roman" w:hAnsi="Times New Roman"/>
          <w:b/>
          <w:sz w:val="24"/>
          <w:szCs w:val="24"/>
          <w:lang w:val="ro-RO"/>
        </w:rPr>
        <w:t>3a,3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r,3rh</w:t>
      </w:r>
      <w:r w:rsidR="007F1891" w:rsidRPr="0083048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F1AE4" w:rsidRPr="009B3187" w:rsidRDefault="001F1AE4" w:rsidP="00696A2B">
      <w:pPr>
        <w:pStyle w:val="a5"/>
        <w:tabs>
          <w:tab w:val="left" w:pos="142"/>
        </w:tabs>
        <w:ind w:left="705"/>
        <w:rPr>
          <w:rFonts w:ascii="Times New Roman" w:hAnsi="Times New Roman"/>
          <w:sz w:val="24"/>
          <w:szCs w:val="24"/>
          <w:lang w:val="ro-RO"/>
        </w:rPr>
      </w:pPr>
    </w:p>
    <w:p w:rsidR="008565D7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 w:rsidR="00FC5880">
        <w:rPr>
          <w:lang w:val="ro-RO"/>
        </w:rPr>
        <w:t>6 luni</w:t>
      </w:r>
      <w:r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B77AE2">
        <w:rPr>
          <w:lang w:val="ro-RO"/>
        </w:rPr>
        <w:t xml:space="preserve"> spre examinare la Curtea de Apel Cahul s-au aflat în procedură în total </w:t>
      </w:r>
      <w:r w:rsidR="00415E0D">
        <w:rPr>
          <w:b/>
          <w:lang w:val="ro-RO"/>
        </w:rPr>
        <w:t>71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="00F31EC3">
        <w:rPr>
          <w:b/>
          <w:szCs w:val="24"/>
          <w:lang w:val="ro-RO"/>
        </w:rPr>
        <w:t>de</w:t>
      </w:r>
      <w:r w:rsidR="0020173D" w:rsidRPr="0083048B">
        <w:rPr>
          <w:b/>
          <w:szCs w:val="24"/>
          <w:lang w:val="ro-RO"/>
        </w:rPr>
        <w:t xml:space="preserve"> contencios administrativ </w:t>
      </w:r>
      <w:r w:rsidRPr="00B77AE2">
        <w:rPr>
          <w:lang w:val="ro-RO"/>
        </w:rPr>
        <w:t xml:space="preserve">dintre care: </w:t>
      </w:r>
    </w:p>
    <w:p w:rsidR="00D23955" w:rsidRPr="00B77AE2" w:rsidRDefault="00D23955" w:rsidP="008565D7">
      <w:pPr>
        <w:ind w:right="-1"/>
        <w:rPr>
          <w:lang w:val="ro-RO"/>
        </w:rPr>
      </w:pPr>
      <w:r w:rsidRPr="00626BDF">
        <w:rPr>
          <w:i/>
          <w:lang w:val="ro-RO"/>
        </w:rPr>
        <w:t>cauze de contencios administrativ</w:t>
      </w:r>
      <w:r>
        <w:rPr>
          <w:i/>
          <w:lang w:val="ro-RO"/>
        </w:rPr>
        <w:t xml:space="preserve"> 3 - </w:t>
      </w:r>
      <w:r w:rsidR="00415E0D">
        <w:rPr>
          <w:i/>
          <w:lang w:val="ro-RO"/>
        </w:rPr>
        <w:t>15</w:t>
      </w:r>
    </w:p>
    <w:p w:rsidR="0020173D" w:rsidRDefault="0020173D" w:rsidP="0020173D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3a </w:t>
      </w:r>
      <w:r>
        <w:rPr>
          <w:i/>
          <w:lang w:val="ro-RO"/>
        </w:rPr>
        <w:t>–</w:t>
      </w:r>
      <w:r w:rsidR="00415E0D">
        <w:rPr>
          <w:b/>
          <w:i/>
          <w:lang w:val="ro-RO"/>
        </w:rPr>
        <w:t>48</w:t>
      </w:r>
    </w:p>
    <w:p w:rsidR="0020173D" w:rsidRPr="00B77AE2" w:rsidRDefault="0020173D" w:rsidP="0020173D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</w:t>
      </w:r>
      <w:r>
        <w:rPr>
          <w:i/>
          <w:lang w:val="ro-RO"/>
        </w:rPr>
        <w:t xml:space="preserve">3r </w:t>
      </w:r>
      <w:r w:rsidRPr="00B77AE2">
        <w:rPr>
          <w:i/>
          <w:lang w:val="ro-RO"/>
        </w:rPr>
        <w:t xml:space="preserve">- </w:t>
      </w:r>
      <w:r w:rsidR="00415E0D">
        <w:rPr>
          <w:b/>
          <w:i/>
          <w:lang w:val="ro-RO"/>
        </w:rPr>
        <w:t>8</w:t>
      </w:r>
    </w:p>
    <w:p w:rsidR="0020173D" w:rsidRPr="00B77AE2" w:rsidRDefault="0020173D" w:rsidP="0020173D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B77AE2">
        <w:rPr>
          <w:i/>
          <w:lang w:val="ro-RO"/>
        </w:rPr>
        <w:t>rilor</w:t>
      </w:r>
      <w:r>
        <w:rPr>
          <w:i/>
          <w:lang w:val="ro-RO"/>
        </w:rPr>
        <w:t xml:space="preserve"> </w:t>
      </w:r>
      <w:r w:rsidRPr="00B77AE2">
        <w:rPr>
          <w:i/>
          <w:lang w:val="ro-RO"/>
        </w:rPr>
        <w:t xml:space="preserve">în contencios administrativ - </w:t>
      </w:r>
      <w:r>
        <w:rPr>
          <w:b/>
          <w:i/>
          <w:lang w:val="ro-RO"/>
        </w:rPr>
        <w:t>0</w:t>
      </w: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="0020173D" w:rsidRPr="0083048B">
        <w:rPr>
          <w:b/>
          <w:szCs w:val="24"/>
          <w:lang w:val="ro-RO"/>
        </w:rPr>
        <w:t xml:space="preserve">de contencios administrativ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CD0341">
        <w:rPr>
          <w:b/>
          <w:lang w:val="ro-RO"/>
        </w:rPr>
        <w:t>15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415E0D">
        <w:rPr>
          <w:b/>
          <w:lang w:val="ro-RO"/>
        </w:rPr>
        <w:t>56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 noi înregistrate.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 xml:space="preserve">Din totalul </w:t>
      </w:r>
      <w:r>
        <w:rPr>
          <w:lang w:val="ro-RO"/>
        </w:rPr>
        <w:t>cauze</w:t>
      </w:r>
      <w:r w:rsidRPr="00B77AE2">
        <w:rPr>
          <w:lang w:val="ro-RO"/>
        </w:rPr>
        <w:t xml:space="preserve">lor aflate în procedură au fost  soluționate – </w:t>
      </w:r>
      <w:r w:rsidR="00415E0D">
        <w:rPr>
          <w:b/>
          <w:lang w:val="ro-RO"/>
        </w:rPr>
        <w:t>47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, </w:t>
      </w:r>
      <w:r w:rsidRPr="00B77AE2">
        <w:rPr>
          <w:i/>
          <w:lang w:val="ro-RO"/>
        </w:rPr>
        <w:t xml:space="preserve">din care fără soluționare în fond </w:t>
      </w:r>
      <w:r w:rsidR="00415E0D">
        <w:rPr>
          <w:i/>
          <w:lang w:val="ro-RO"/>
        </w:rPr>
        <w:t>13</w:t>
      </w:r>
      <w:r w:rsidR="00CD0341">
        <w:rPr>
          <w:i/>
          <w:lang w:val="ro-RO"/>
        </w:rPr>
        <w:t xml:space="preserve"> cauză</w:t>
      </w:r>
      <w:r>
        <w:rPr>
          <w:i/>
          <w:lang w:val="ro-RO"/>
        </w:rPr>
        <w:t xml:space="preserve">, </w:t>
      </w:r>
      <w:r w:rsidRPr="00626BDF">
        <w:rPr>
          <w:i/>
          <w:lang w:val="ro-RO"/>
        </w:rPr>
        <w:t xml:space="preserve">strămutate la CSJ - </w:t>
      </w:r>
      <w:r w:rsidR="00415E0D">
        <w:rPr>
          <w:i/>
          <w:lang w:val="ro-RO"/>
        </w:rPr>
        <w:t>8</w:t>
      </w:r>
      <w:r w:rsidR="0020173D">
        <w:rPr>
          <w:i/>
          <w:lang w:val="ro-RO"/>
        </w:rPr>
        <w:t xml:space="preserve"> cauz</w:t>
      </w:r>
      <w:r w:rsidR="00415E0D">
        <w:rPr>
          <w:i/>
          <w:lang w:val="ro-RO"/>
        </w:rPr>
        <w:t>e</w:t>
      </w:r>
      <w:r>
        <w:rPr>
          <w:i/>
          <w:lang w:val="ro-RO"/>
        </w:rPr>
        <w:t>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>N</w:t>
      </w:r>
      <w:r>
        <w:rPr>
          <w:lang w:val="ro-RO"/>
        </w:rPr>
        <w:t>umărul cauzelor pendinte la sfâ</w:t>
      </w:r>
      <w:r w:rsidRPr="00B77AE2">
        <w:rPr>
          <w:lang w:val="ro-RO"/>
        </w:rPr>
        <w:t xml:space="preserve">rșitul perioadei raportate constituie </w:t>
      </w:r>
      <w:r w:rsidR="00415E0D">
        <w:rPr>
          <w:b/>
          <w:lang w:val="ro-RO"/>
        </w:rPr>
        <w:t>24</w:t>
      </w:r>
      <w:r w:rsidRPr="00B77AE2">
        <w:rPr>
          <w:b/>
          <w:lang w:val="ro-RO"/>
        </w:rPr>
        <w:t xml:space="preserve"> cauze.</w:t>
      </w:r>
    </w:p>
    <w:p w:rsidR="008565D7" w:rsidRPr="00550A5A" w:rsidRDefault="008565D7" w:rsidP="008565D7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a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>
        <w:rPr>
          <w:rFonts w:ascii="Times New Roman" w:hAnsi="Times New Roman"/>
          <w:sz w:val="24"/>
          <w:szCs w:val="24"/>
          <w:lang w:val="ro-RO"/>
        </w:rPr>
        <w:t>cauzelor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173D" w:rsidRPr="0020173D">
        <w:rPr>
          <w:rFonts w:ascii="Times New Roman" w:hAnsi="Times New Roman"/>
          <w:sz w:val="24"/>
          <w:szCs w:val="24"/>
          <w:lang w:val="ro-RO"/>
        </w:rPr>
        <w:t>de contencios administrativ</w:t>
      </w:r>
      <w:r w:rsidRPr="00021D19">
        <w:rPr>
          <w:sz w:val="24"/>
          <w:szCs w:val="24"/>
          <w:lang w:val="ro-RO"/>
        </w:rPr>
        <w:t xml:space="preserve"> </w:t>
      </w:r>
      <w:r w:rsidRPr="00021D19">
        <w:rPr>
          <w:rFonts w:ascii="Times New Roman" w:hAnsi="Times New Roman"/>
          <w:sz w:val="24"/>
          <w:szCs w:val="24"/>
          <w:lang w:val="ro-RO"/>
        </w:rPr>
        <w:t>(raportul dintre cauzele soluționate în perioada raportată și cele noi înregistrate în perioada raportată, exprimat în procente) constituie</w:t>
      </w:r>
      <w:r w:rsidRPr="00550A5A">
        <w:rPr>
          <w:rFonts w:ascii="Times New Roman" w:hAnsi="Times New Roman"/>
          <w:lang w:val="ro-RO"/>
        </w:rPr>
        <w:t xml:space="preserve"> </w:t>
      </w:r>
      <w:r w:rsidR="00415E0D">
        <w:rPr>
          <w:rFonts w:ascii="Times New Roman" w:hAnsi="Times New Roman"/>
          <w:b/>
          <w:lang w:val="ro-RO"/>
        </w:rPr>
        <w:t>83,93</w:t>
      </w:r>
      <w:r w:rsidRPr="00550A5A">
        <w:rPr>
          <w:rFonts w:ascii="Times New Roman" w:hAnsi="Times New Roman"/>
          <w:b/>
          <w:lang w:val="ro-RO"/>
        </w:rPr>
        <w:t xml:space="preserve"> %. </w:t>
      </w:r>
    </w:p>
    <w:p w:rsidR="008565D7" w:rsidRPr="00550A5A" w:rsidRDefault="008565D7" w:rsidP="008565D7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Pr="00550A5A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415E0D">
        <w:rPr>
          <w:b/>
          <w:lang w:val="ro-RO"/>
        </w:rPr>
        <w:t>92</w:t>
      </w:r>
      <w:r w:rsidR="00BE3F8E">
        <w:rPr>
          <w:b/>
          <w:lang w:val="ro-RO"/>
        </w:rPr>
        <w:t xml:space="preserve"> </w:t>
      </w:r>
      <w:r w:rsidRPr="00550A5A">
        <w:rPr>
          <w:b/>
          <w:lang w:val="ro-RO"/>
        </w:rPr>
        <w:t>zile.</w:t>
      </w:r>
      <w:r w:rsidRPr="00550A5A">
        <w:rPr>
          <w:lang w:val="ro-RO"/>
        </w:rPr>
        <w:t xml:space="preserve"> </w:t>
      </w:r>
    </w:p>
    <w:p w:rsidR="008D5424" w:rsidRPr="00B17B71" w:rsidRDefault="008565D7" w:rsidP="00191F25">
      <w:pPr>
        <w:ind w:right="-1"/>
        <w:rPr>
          <w:lang w:val="ro-RO"/>
        </w:rPr>
      </w:pPr>
      <w:r w:rsidRPr="00B17B71">
        <w:rPr>
          <w:lang w:val="ro-RO"/>
        </w:rPr>
        <w:t xml:space="preserve">Numărul de cauze </w:t>
      </w:r>
      <w:r w:rsidR="0020173D" w:rsidRPr="00B17B71">
        <w:rPr>
          <w:szCs w:val="24"/>
          <w:lang w:val="ro-RO"/>
        </w:rPr>
        <w:t xml:space="preserve">de contencios administrativ examinate </w:t>
      </w:r>
      <w:r w:rsidR="001F1AE4" w:rsidRPr="00B17B71">
        <w:rPr>
          <w:lang w:val="ro-RO"/>
        </w:rPr>
        <w:t xml:space="preserve">de un judecător în mediu </w:t>
      </w:r>
      <w:r w:rsidRPr="00B17B71">
        <w:rPr>
          <w:lang w:val="ro-RO"/>
        </w:rPr>
        <w:t xml:space="preserve">constituie </w:t>
      </w:r>
      <w:r w:rsidR="00B17B71" w:rsidRPr="00B17B71">
        <w:rPr>
          <w:b/>
          <w:lang w:val="ro-RO"/>
        </w:rPr>
        <w:t xml:space="preserve">5 </w:t>
      </w:r>
      <w:r w:rsidRPr="00B17B71">
        <w:rPr>
          <w:b/>
          <w:lang w:val="ro-RO"/>
        </w:rPr>
        <w:t xml:space="preserve">cauze. </w:t>
      </w:r>
    </w:p>
    <w:p w:rsidR="00191F25" w:rsidRPr="00B17B71" w:rsidRDefault="00191F25" w:rsidP="00191F25">
      <w:pPr>
        <w:ind w:right="-1"/>
        <w:rPr>
          <w:lang w:val="ro-RO"/>
        </w:rPr>
      </w:pPr>
    </w:p>
    <w:p w:rsidR="008565D7" w:rsidRPr="00626BDF" w:rsidRDefault="008565D7" w:rsidP="00F31EC3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8C6DB1" w:rsidRPr="008C6DB1">
        <w:rPr>
          <w:rFonts w:ascii="Times New Roman" w:hAnsi="Times New Roman"/>
          <w:i/>
          <w:sz w:val="24"/>
          <w:szCs w:val="24"/>
          <w:lang w:val="ro-RO"/>
        </w:rPr>
        <w:t>în contencios administrativ</w:t>
      </w:r>
      <w:r w:rsidR="008C6DB1" w:rsidRPr="00021D19">
        <w:rPr>
          <w:sz w:val="24"/>
          <w:szCs w:val="24"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F31EC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8565D7" w:rsidRDefault="008565D7" w:rsidP="008565D7">
      <w:pPr>
        <w:ind w:right="-1"/>
        <w:rPr>
          <w:color w:val="000000" w:themeColor="text1"/>
          <w:lang w:val="ro-RO"/>
        </w:rPr>
      </w:pPr>
    </w:p>
    <w:p w:rsidR="008565D7" w:rsidRDefault="00415E0D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4764648F" wp14:editId="54598B5B">
            <wp:extent cx="5637437" cy="3099466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565D7" w:rsidRDefault="008565D7" w:rsidP="008565D7">
      <w:pPr>
        <w:ind w:right="-1"/>
        <w:rPr>
          <w:b/>
          <w:lang w:val="ro-RO"/>
        </w:rPr>
      </w:pPr>
    </w:p>
    <w:p w:rsidR="001F1AE4" w:rsidRDefault="001F1AE4" w:rsidP="008565D7">
      <w:pPr>
        <w:ind w:right="-1"/>
        <w:rPr>
          <w:b/>
          <w:lang w:val="ro-RO"/>
        </w:rPr>
      </w:pPr>
    </w:p>
    <w:p w:rsidR="008565D7" w:rsidRDefault="00415E0D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0CA4E427" wp14:editId="774F0E9C">
            <wp:extent cx="6458733" cy="3053219"/>
            <wp:effectExtent l="0" t="0" r="18415" b="1397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E3F8E" w:rsidRPr="00AA72BE" w:rsidRDefault="00415E0D" w:rsidP="00AA72BE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4D9C942D" wp14:editId="523529BC">
            <wp:extent cx="5545377" cy="3105410"/>
            <wp:effectExtent l="0" t="0" r="1778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1F1AE4" w:rsidRPr="00D26D77" w:rsidRDefault="001F1AE4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26D77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D26D77">
        <w:rPr>
          <w:b/>
          <w:sz w:val="24"/>
          <w:szCs w:val="24"/>
          <w:lang w:val="ro-RO"/>
        </w:rPr>
        <w:t xml:space="preserve"> </w:t>
      </w:r>
      <w:r w:rsidR="008D5424" w:rsidRPr="00D26D77">
        <w:rPr>
          <w:rFonts w:ascii="Times New Roman" w:hAnsi="Times New Roman"/>
          <w:b/>
          <w:sz w:val="24"/>
          <w:szCs w:val="24"/>
          <w:lang w:val="ro-RO"/>
        </w:rPr>
        <w:t>cauze de contencios administrativ</w:t>
      </w:r>
      <w:r w:rsidRPr="00D26D77">
        <w:rPr>
          <w:rFonts w:ascii="Times New Roman" w:hAnsi="Times New Roman"/>
          <w:b/>
          <w:sz w:val="24"/>
          <w:szCs w:val="24"/>
          <w:lang w:val="ro-RO"/>
        </w:rPr>
        <w:t xml:space="preserve"> indicele ( </w:t>
      </w:r>
      <w:r w:rsidR="00F31EC3" w:rsidRPr="00D26D77">
        <w:rPr>
          <w:rFonts w:ascii="Times New Roman" w:hAnsi="Times New Roman"/>
          <w:b/>
          <w:sz w:val="24"/>
          <w:szCs w:val="24"/>
          <w:lang w:val="ro-RO"/>
        </w:rPr>
        <w:t>3a, 3r, 3rh</w:t>
      </w:r>
      <w:r w:rsidRPr="00D26D77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1F1AE4" w:rsidRPr="00B17B71" w:rsidRDefault="001F1AE4" w:rsidP="001F1A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584261" w:rsidRPr="00EA2ACD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="00D26D77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>
        <w:rPr>
          <w:rFonts w:ascii="Times New Roman" w:hAnsi="Times New Roman"/>
          <w:sz w:val="24"/>
          <w:szCs w:val="24"/>
          <w:lang w:val="ro-RO"/>
        </w:rPr>
        <w:t xml:space="preserve"> – examinate</w:t>
      </w:r>
      <w:r w:rsidR="00BD784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A2ACD">
        <w:rPr>
          <w:rFonts w:ascii="Times New Roman" w:hAnsi="Times New Roman"/>
          <w:sz w:val="24"/>
          <w:szCs w:val="24"/>
          <w:lang w:val="ro-RO"/>
        </w:rPr>
        <w:t>–</w:t>
      </w:r>
      <w:r w:rsidR="00BD784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26D77">
        <w:rPr>
          <w:rFonts w:ascii="Times New Roman" w:hAnsi="Times New Roman"/>
          <w:b/>
          <w:sz w:val="24"/>
          <w:szCs w:val="24"/>
          <w:lang w:val="ro-RO"/>
        </w:rPr>
        <w:t>15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D26D77">
        <w:rPr>
          <w:rFonts w:ascii="Times New Roman" w:hAnsi="Times New Roman"/>
          <w:b/>
          <w:sz w:val="24"/>
          <w:szCs w:val="24"/>
          <w:lang w:val="ro-RO"/>
        </w:rPr>
        <w:t>14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 cauze mai puțin 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EA2ACD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D26D77">
        <w:rPr>
          <w:rFonts w:ascii="Times New Roman" w:hAnsi="Times New Roman"/>
          <w:b/>
          <w:lang w:val="ro-RO"/>
        </w:rPr>
        <w:t>8</w:t>
      </w:r>
      <w:r w:rsidRPr="00EA2ACD">
        <w:rPr>
          <w:rFonts w:ascii="Times New Roman" w:hAnsi="Times New Roman"/>
          <w:lang w:val="ro-RO"/>
        </w:rPr>
        <w:t xml:space="preserve"> cauze (</w:t>
      </w:r>
      <w:r w:rsidR="00D26D77">
        <w:rPr>
          <w:rFonts w:ascii="Times New Roman" w:hAnsi="Times New Roman"/>
          <w:lang w:val="ro-RO"/>
        </w:rPr>
        <w:t>53,34</w:t>
      </w:r>
      <w:r w:rsidRPr="00EA2ACD">
        <w:rPr>
          <w:rFonts w:ascii="Times New Roman" w:hAnsi="Times New Roman"/>
          <w:lang w:val="ro-RO"/>
        </w:rPr>
        <w:t xml:space="preserve">%), cu </w:t>
      </w:r>
      <w:r w:rsidR="00D26D77">
        <w:rPr>
          <w:rFonts w:ascii="Times New Roman" w:hAnsi="Times New Roman"/>
          <w:b/>
          <w:lang w:val="ro-RO"/>
        </w:rPr>
        <w:t>8</w:t>
      </w:r>
      <w:r w:rsidRPr="00EA2ACD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puțin</w:t>
      </w:r>
      <w:r w:rsidRPr="00EA2AC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EA2ACD">
        <w:rPr>
          <w:rFonts w:ascii="Times New Roman" w:hAnsi="Times New Roman"/>
          <w:lang w:val="ro-RO"/>
        </w:rPr>
        <w:t>,</w:t>
      </w:r>
    </w:p>
    <w:p w:rsid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</w:t>
      </w:r>
      <w:r w:rsidR="00D26D77">
        <w:rPr>
          <w:rFonts w:ascii="Times New Roman" w:hAnsi="Times New Roman"/>
          <w:b/>
          <w:lang w:val="ro-RO"/>
        </w:rPr>
        <w:t>7</w:t>
      </w:r>
      <w:r w:rsidRPr="00CB30C2">
        <w:rPr>
          <w:rFonts w:ascii="Times New Roman" w:hAnsi="Times New Roman"/>
          <w:b/>
          <w:lang w:val="ro-RO"/>
        </w:rPr>
        <w:t xml:space="preserve"> </w:t>
      </w:r>
      <w:r w:rsidRPr="00CB30C2">
        <w:rPr>
          <w:rFonts w:ascii="Times New Roman" w:hAnsi="Times New Roman"/>
          <w:lang w:val="ro-RO"/>
        </w:rPr>
        <w:t>cauze (</w:t>
      </w:r>
      <w:r w:rsidR="00D26D77">
        <w:rPr>
          <w:rFonts w:ascii="Times New Roman" w:hAnsi="Times New Roman"/>
          <w:lang w:val="ro-RO"/>
        </w:rPr>
        <w:t>46,66</w:t>
      </w:r>
      <w:r w:rsidRPr="00CB30C2">
        <w:rPr>
          <w:rFonts w:ascii="Times New Roman" w:hAnsi="Times New Roman"/>
          <w:lang w:val="ro-RO"/>
        </w:rPr>
        <w:t xml:space="preserve">%), cu </w:t>
      </w:r>
      <w:r w:rsidR="00D26D77">
        <w:rPr>
          <w:rFonts w:ascii="Times New Roman" w:hAnsi="Times New Roman"/>
          <w:b/>
          <w:lang w:val="ro-RO"/>
        </w:rPr>
        <w:t>6</w:t>
      </w:r>
      <w:r w:rsidRPr="00CB30C2">
        <w:rPr>
          <w:rFonts w:ascii="Times New Roman" w:hAnsi="Times New Roman"/>
          <w:lang w:val="ro-RO"/>
        </w:rPr>
        <w:t xml:space="preserve"> cauze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CB30C2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cu sediul în or. Cantemir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D26D77">
        <w:rPr>
          <w:rFonts w:ascii="Times New Roman" w:hAnsi="Times New Roman"/>
          <w:b/>
          <w:sz w:val="24"/>
          <w:szCs w:val="24"/>
          <w:lang w:val="ro-RO"/>
        </w:rPr>
        <w:t>4</w:t>
      </w:r>
      <w:r w:rsidR="00D26D77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D784A">
        <w:rPr>
          <w:rFonts w:ascii="Times New Roman" w:hAnsi="Times New Roman"/>
          <w:sz w:val="24"/>
          <w:szCs w:val="24"/>
          <w:lang w:val="ro-RO"/>
        </w:rPr>
        <w:t>la fel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EA2ACD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D26D77">
        <w:rPr>
          <w:rFonts w:ascii="Times New Roman" w:hAnsi="Times New Roman"/>
          <w:b/>
          <w:lang w:val="ro-RO"/>
        </w:rPr>
        <w:t>2</w:t>
      </w:r>
      <w:r w:rsidRPr="00EA2ACD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e</w:t>
      </w:r>
      <w:r w:rsidRPr="00EA2ACD">
        <w:rPr>
          <w:rFonts w:ascii="Times New Roman" w:hAnsi="Times New Roman"/>
          <w:lang w:val="ro-RO"/>
        </w:rPr>
        <w:t xml:space="preserve"> (</w:t>
      </w:r>
      <w:r w:rsidR="00D26D77">
        <w:rPr>
          <w:rFonts w:ascii="Times New Roman" w:hAnsi="Times New Roman"/>
          <w:lang w:val="ro-RO"/>
        </w:rPr>
        <w:t>50</w:t>
      </w:r>
      <w:r w:rsidRPr="00EA2AC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EA2ACD">
        <w:rPr>
          <w:rFonts w:ascii="Times New Roman" w:hAnsi="Times New Roman"/>
          <w:lang w:val="ro-RO"/>
        </w:rPr>
        <w:t>,</w:t>
      </w:r>
    </w:p>
    <w:p w:rsidR="00584261" w:rsidRPr="00D26D77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="00D26D77">
        <w:rPr>
          <w:rFonts w:ascii="Times New Roman" w:hAnsi="Times New Roman"/>
          <w:b/>
          <w:lang w:val="ro-RO"/>
        </w:rPr>
        <w:t>2</w:t>
      </w:r>
      <w:r w:rsidR="00D26D77">
        <w:rPr>
          <w:rFonts w:ascii="Times New Roman" w:hAnsi="Times New Roman"/>
          <w:lang w:val="ro-RO"/>
        </w:rPr>
        <w:t xml:space="preserve"> cauze</w:t>
      </w:r>
      <w:r w:rsidR="00BD784A">
        <w:rPr>
          <w:rFonts w:ascii="Times New Roman" w:hAnsi="Times New Roman"/>
          <w:lang w:val="ro-RO"/>
        </w:rPr>
        <w:t xml:space="preserve"> (</w:t>
      </w:r>
      <w:r w:rsidR="00D26D77">
        <w:rPr>
          <w:rFonts w:ascii="Times New Roman" w:hAnsi="Times New Roman"/>
          <w:lang w:val="ro-RO"/>
        </w:rPr>
        <w:t>50</w:t>
      </w:r>
      <w:r w:rsidRPr="00CB30C2">
        <w:rPr>
          <w:rFonts w:ascii="Times New Roman" w:hAnsi="Times New Roman"/>
          <w:lang w:val="ro-RO"/>
        </w:rPr>
        <w:t xml:space="preserve"> %), cu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</w:t>
      </w:r>
      <w:r w:rsidRPr="00CB30C2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puțin</w:t>
      </w:r>
      <w:r w:rsidRPr="00CB30C2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D26D77" w:rsidRDefault="00D26D77" w:rsidP="00D26D7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Cahul cu sediul în or.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Taraclia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EA2ACD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</w:t>
      </w:r>
      <w:r w:rsidRPr="00EA2ACD">
        <w:rPr>
          <w:rFonts w:ascii="Times New Roman" w:hAnsi="Times New Roman"/>
          <w:sz w:val="24"/>
          <w:szCs w:val="24"/>
          <w:lang w:val="ro-RO"/>
        </w:rPr>
        <w:t>,</w:t>
      </w:r>
    </w:p>
    <w:p w:rsidR="00D26D77" w:rsidRDefault="00D26D77" w:rsidP="00D26D77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1</w:t>
      </w:r>
      <w:r w:rsidRPr="00EA2ACD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ă</w:t>
      </w:r>
      <w:r w:rsidRPr="00EA2ACD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50</w:t>
      </w:r>
      <w:r w:rsidRPr="00EA2AC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EA2ACD">
        <w:rPr>
          <w:rFonts w:ascii="Times New Roman" w:hAnsi="Times New Roman"/>
          <w:lang w:val="ro-RO"/>
        </w:rPr>
        <w:t>,</w:t>
      </w:r>
    </w:p>
    <w:p w:rsidR="00D26D77" w:rsidRPr="00CB30C2" w:rsidRDefault="00D26D77" w:rsidP="00D26D77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 (50</w:t>
      </w:r>
      <w:r w:rsidRPr="00CB30C2">
        <w:rPr>
          <w:rFonts w:ascii="Times New Roman" w:hAnsi="Times New Roman"/>
          <w:lang w:val="ro-RO"/>
        </w:rPr>
        <w:t xml:space="preserve"> %), </w:t>
      </w:r>
      <w:r>
        <w:rPr>
          <w:rFonts w:ascii="Times New Roman" w:hAnsi="Times New Roman"/>
          <w:lang w:val="ro-RO"/>
        </w:rPr>
        <w:t>la fel</w:t>
      </w:r>
      <w:r w:rsidRPr="00CB30C2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76307A" w:rsidRDefault="0076307A" w:rsidP="0076307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Comrat</w:t>
      </w: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în or.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Ceadâr-Lunga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lang w:val="ro-RO"/>
        </w:rPr>
        <w:t>la fel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</w:t>
      </w:r>
      <w:r w:rsidRPr="00EA2ACD">
        <w:rPr>
          <w:rFonts w:ascii="Times New Roman" w:hAnsi="Times New Roman"/>
          <w:sz w:val="24"/>
          <w:szCs w:val="24"/>
          <w:lang w:val="ro-RO"/>
        </w:rPr>
        <w:t>,</w:t>
      </w:r>
    </w:p>
    <w:p w:rsidR="0076307A" w:rsidRDefault="0076307A" w:rsidP="0076307A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1</w:t>
      </w:r>
      <w:r w:rsidRPr="00EA2ACD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ă</w:t>
      </w:r>
      <w:r w:rsidRPr="00EA2ACD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100</w:t>
      </w:r>
      <w:r w:rsidRPr="00EA2AC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EA2ACD">
        <w:rPr>
          <w:rFonts w:ascii="Times New Roman" w:hAnsi="Times New Roman"/>
          <w:lang w:val="ro-RO"/>
        </w:rPr>
        <w:t>,</w:t>
      </w:r>
    </w:p>
    <w:p w:rsidR="00D26D77" w:rsidRPr="0076307A" w:rsidRDefault="0076307A" w:rsidP="00D26D77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 (0</w:t>
      </w:r>
      <w:r w:rsidRPr="00CB30C2">
        <w:rPr>
          <w:rFonts w:ascii="Times New Roman" w:hAnsi="Times New Roman"/>
          <w:lang w:val="ro-RO"/>
        </w:rPr>
        <w:t xml:space="preserve"> %), </w:t>
      </w:r>
      <w:r w:rsidRPr="00EA2ACD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puțin</w:t>
      </w:r>
      <w:r w:rsidRPr="00CB30C2">
        <w:rPr>
          <w:rFonts w:ascii="Times New Roman" w:hAnsi="Times New Roman"/>
          <w:lang w:val="ro-RO"/>
        </w:rPr>
        <w:t xml:space="preserve"> ca în aceeași perioadă a anului </w:t>
      </w:r>
      <w:r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CB30C2" w:rsidRDefault="00A84A63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D784A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 cauză, </w:t>
      </w:r>
      <w:r w:rsidR="00CB30C2" w:rsidRPr="00EA2ACD">
        <w:rPr>
          <w:rFonts w:ascii="Times New Roman" w:hAnsi="Times New Roman"/>
          <w:lang w:val="ro-RO"/>
        </w:rPr>
        <w:t xml:space="preserve">cu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</w:t>
      </w:r>
      <w:r w:rsidR="00CB30C2" w:rsidRPr="00EA2ACD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mult</w:t>
      </w:r>
      <w:r w:rsidR="00CB30C2" w:rsidRPr="00EA2ACD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="00CB30C2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menținute fără modificări – </w:t>
      </w:r>
      <w:r w:rsidRPr="00A84A63">
        <w:rPr>
          <w:rFonts w:ascii="Times New Roman" w:hAnsi="Times New Roman"/>
          <w:b/>
          <w:lang w:val="ro-RO"/>
        </w:rPr>
        <w:t xml:space="preserve">0 </w:t>
      </w:r>
      <w:r w:rsidRPr="00A84A63">
        <w:rPr>
          <w:rFonts w:ascii="Times New Roman" w:hAnsi="Times New Roman"/>
          <w:lang w:val="ro-RO"/>
        </w:rPr>
        <w:t xml:space="preserve">cauze (0 %), </w:t>
      </w:r>
    </w:p>
    <w:p w:rsidR="00A84A63" w:rsidRPr="00385E33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1 </w:t>
      </w:r>
      <w:r w:rsidRPr="00CB30C2">
        <w:rPr>
          <w:rFonts w:ascii="Times New Roman" w:hAnsi="Times New Roman"/>
          <w:lang w:val="ro-RO"/>
        </w:rPr>
        <w:t xml:space="preserve">cauză (100 %), </w:t>
      </w:r>
      <w:r w:rsidR="00BD784A" w:rsidRPr="00EA2ACD">
        <w:rPr>
          <w:rFonts w:ascii="Times New Roman" w:hAnsi="Times New Roman"/>
          <w:lang w:val="ro-RO"/>
        </w:rPr>
        <w:t xml:space="preserve">cu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</w:t>
      </w:r>
      <w:r w:rsidR="00BD784A" w:rsidRPr="00EA2ACD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mult</w:t>
      </w:r>
      <w:r w:rsidR="00BD784A" w:rsidRPr="00EA2ACD">
        <w:rPr>
          <w:rFonts w:ascii="Times New Roman" w:hAnsi="Times New Roman"/>
          <w:lang w:val="ro-RO"/>
        </w:rPr>
        <w:t xml:space="preserve"> </w:t>
      </w:r>
      <w:r w:rsidRPr="00CB30C2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D26D77" w:rsidRDefault="00D26D77" w:rsidP="00D26D7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Chișinău</w:t>
      </w: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EA2ACD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lang w:val="ro-RO"/>
        </w:rPr>
        <w:t xml:space="preserve"> cauze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>
        <w:rPr>
          <w:rFonts w:ascii="Times New Roman" w:hAnsi="Times New Roman"/>
          <w:sz w:val="24"/>
          <w:szCs w:val="24"/>
          <w:lang w:val="ro-RO"/>
        </w:rPr>
        <w:t>2018,</w:t>
      </w:r>
    </w:p>
    <w:p w:rsidR="00D26D77" w:rsidRDefault="00D26D77" w:rsidP="00D26D77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menținute fără modificări – </w:t>
      </w:r>
      <w:r w:rsidRPr="00A84A63">
        <w:rPr>
          <w:rFonts w:ascii="Times New Roman" w:hAnsi="Times New Roman"/>
          <w:b/>
          <w:lang w:val="ro-RO"/>
        </w:rPr>
        <w:t xml:space="preserve">0 </w:t>
      </w:r>
      <w:r w:rsidRPr="00A84A63">
        <w:rPr>
          <w:rFonts w:ascii="Times New Roman" w:hAnsi="Times New Roman"/>
          <w:lang w:val="ro-RO"/>
        </w:rPr>
        <w:t xml:space="preserve">cauze (0 %), </w:t>
      </w:r>
    </w:p>
    <w:p w:rsidR="001E0C74" w:rsidRPr="00AA72BE" w:rsidRDefault="00D26D77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2</w:t>
      </w:r>
      <w:r w:rsidRPr="00CB30C2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cauze </w:t>
      </w:r>
      <w:r w:rsidRPr="00CB30C2">
        <w:rPr>
          <w:rFonts w:ascii="Times New Roman" w:hAnsi="Times New Roman"/>
          <w:lang w:val="ro-RO"/>
        </w:rPr>
        <w:t xml:space="preserve">(100 %), </w:t>
      </w:r>
      <w:r w:rsidRPr="00EA2ACD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lang w:val="ro-RO"/>
        </w:rPr>
        <w:t xml:space="preserve"> cauze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</w:t>
      </w:r>
      <w:r w:rsidRPr="00CB30C2">
        <w:rPr>
          <w:rFonts w:ascii="Times New Roman" w:hAnsi="Times New Roman"/>
          <w:lang w:val="ro-RO"/>
        </w:rPr>
        <w:t xml:space="preserve">ca în aceeași perioadă a anului </w:t>
      </w:r>
      <w:r>
        <w:rPr>
          <w:rFonts w:ascii="Times New Roman" w:hAnsi="Times New Roman"/>
          <w:lang w:val="ro-RO"/>
        </w:rPr>
        <w:t>2018</w:t>
      </w:r>
      <w:r w:rsidR="00AA72BE">
        <w:rPr>
          <w:rFonts w:ascii="Times New Roman" w:hAnsi="Times New Roman"/>
          <w:lang w:val="ro-RO"/>
        </w:rPr>
        <w:t>.</w:t>
      </w:r>
    </w:p>
    <w:p w:rsidR="001E0C74" w:rsidRPr="00860B9B" w:rsidRDefault="001E0C74" w:rsidP="001E0C7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10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0"/>
        <w:gridCol w:w="850"/>
        <w:gridCol w:w="709"/>
        <w:gridCol w:w="1134"/>
        <w:gridCol w:w="709"/>
        <w:gridCol w:w="1134"/>
        <w:gridCol w:w="567"/>
        <w:gridCol w:w="992"/>
        <w:gridCol w:w="709"/>
        <w:gridCol w:w="992"/>
        <w:gridCol w:w="709"/>
        <w:gridCol w:w="992"/>
      </w:tblGrid>
      <w:tr w:rsidR="0007541E" w:rsidRPr="00F3074A" w:rsidTr="0007541E">
        <w:trPr>
          <w:trHeight w:val="15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Casate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F3074A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color w:val="000000"/>
                <w:sz w:val="22"/>
                <w:lang w:val="en-US"/>
              </w:rPr>
              <w:t>Rată, casate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Menținute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F3074A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color w:val="000000"/>
                <w:sz w:val="22"/>
                <w:lang w:val="en-US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07541E">
              <w:rPr>
                <w:rFonts w:eastAsia="Times New Roman" w:cs="Times New Roman"/>
                <w:color w:val="000000"/>
                <w:sz w:val="22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7541E" w:rsidRPr="00F3074A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07541E" w:rsidRPr="0007541E" w:rsidTr="0007541E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000000"/>
                <w:szCs w:val="24"/>
              </w:rPr>
              <w:t>Jud. Cahul sediul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68,00%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17,65%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46,67%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53,33%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07541E" w:rsidRPr="0007541E" w:rsidTr="0007541E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Jud. Cahul cu sediul în or. </w:t>
            </w:r>
            <w:r w:rsidRPr="0007541E">
              <w:rPr>
                <w:rFonts w:eastAsia="Times New Roman" w:cs="Times New Roman"/>
                <w:b/>
                <w:bCs/>
                <w:color w:val="000000"/>
                <w:szCs w:val="24"/>
              </w:rPr>
              <w:t>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94,74%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22,22%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07541E" w:rsidRPr="0007541E" w:rsidTr="0007541E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Jud. Cahul cu sediul în or. </w:t>
            </w:r>
            <w:r w:rsidRPr="0007541E">
              <w:rPr>
                <w:rFonts w:eastAsia="Times New Roman" w:cs="Times New Roman"/>
                <w:b/>
                <w:bCs/>
                <w:color w:val="000000"/>
                <w:szCs w:val="24"/>
              </w:rPr>
              <w:t>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100,00%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18,18%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7541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07541E" w:rsidRPr="0007541E" w:rsidTr="0007541E">
        <w:trPr>
          <w:trHeight w:val="58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7541E" w:rsidRPr="00F3074A" w:rsidRDefault="0007541E" w:rsidP="000754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F3074A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TOTAL cauze în Instanțe Judecătorești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73,55%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18,42%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4,76%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4,76%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07541E" w:rsidRPr="0007541E" w:rsidRDefault="0007541E" w:rsidP="000754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07541E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385E33" w:rsidRDefault="00385E3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07541E" w:rsidRDefault="0007541E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385E33" w:rsidRDefault="0007541E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drawing>
          <wp:inline distT="0" distB="0" distL="0" distR="0" wp14:anchorId="1762EB2E" wp14:editId="5AEC5752">
            <wp:extent cx="6715125" cy="31908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654377" w:rsidRPr="00956CB3" w:rsidRDefault="00552828" w:rsidP="0065437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FF0000"/>
          <w:lang w:val="ro-RO"/>
        </w:rPr>
        <w:tab/>
      </w:r>
      <w:r>
        <w:rPr>
          <w:rFonts w:ascii="Times New Roman" w:hAnsi="Times New Roman"/>
          <w:color w:val="FF0000"/>
          <w:lang w:val="ro-RO"/>
        </w:rPr>
        <w:tab/>
      </w:r>
      <w:bookmarkStart w:id="0" w:name="_GoBack"/>
      <w:bookmarkEnd w:id="0"/>
    </w:p>
    <w:p w:rsidR="00AA72BE" w:rsidRPr="00956CB3" w:rsidRDefault="000F649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956CB3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</w:p>
    <w:sectPr w:rsidR="00AA72BE" w:rsidRPr="00956CB3" w:rsidSect="00F10AC5">
      <w:footerReference w:type="default" r:id="rId42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4A" w:rsidRDefault="00F3074A" w:rsidP="004C4093">
      <w:pPr>
        <w:spacing w:line="240" w:lineRule="auto"/>
      </w:pPr>
      <w:r>
        <w:separator/>
      </w:r>
    </w:p>
  </w:endnote>
  <w:endnote w:type="continuationSeparator" w:id="0">
    <w:p w:rsidR="00F3074A" w:rsidRDefault="00F3074A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76389"/>
      <w:docPartObj>
        <w:docPartGallery w:val="Page Numbers (Bottom of Page)"/>
        <w:docPartUnique/>
      </w:docPartObj>
    </w:sdtPr>
    <w:sdtEndPr/>
    <w:sdtContent>
      <w:p w:rsidR="00F3074A" w:rsidRDefault="00F307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77">
          <w:rPr>
            <w:noProof/>
          </w:rPr>
          <w:t>1</w:t>
        </w:r>
        <w:r>
          <w:fldChar w:fldCharType="end"/>
        </w:r>
      </w:p>
    </w:sdtContent>
  </w:sdt>
  <w:p w:rsidR="00F3074A" w:rsidRDefault="00F307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4A" w:rsidRDefault="00F3074A" w:rsidP="004C4093">
      <w:pPr>
        <w:spacing w:line="240" w:lineRule="auto"/>
      </w:pPr>
      <w:r>
        <w:separator/>
      </w:r>
    </w:p>
  </w:footnote>
  <w:footnote w:type="continuationSeparator" w:id="0">
    <w:p w:rsidR="00F3074A" w:rsidRDefault="00F3074A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4B1"/>
    <w:multiLevelType w:val="hybridMultilevel"/>
    <w:tmpl w:val="C4B4E546"/>
    <w:lvl w:ilvl="0" w:tplc="1C4C06D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9B1"/>
    <w:multiLevelType w:val="multilevel"/>
    <w:tmpl w:val="DF4AA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BF4657"/>
    <w:multiLevelType w:val="hybridMultilevel"/>
    <w:tmpl w:val="3F286A58"/>
    <w:lvl w:ilvl="0" w:tplc="42C85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96F64"/>
    <w:multiLevelType w:val="hybridMultilevel"/>
    <w:tmpl w:val="FADA436C"/>
    <w:lvl w:ilvl="0" w:tplc="AFACF7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06D59"/>
    <w:rsid w:val="00010795"/>
    <w:rsid w:val="00011B0E"/>
    <w:rsid w:val="0001466D"/>
    <w:rsid w:val="00015709"/>
    <w:rsid w:val="00015BE3"/>
    <w:rsid w:val="00021D19"/>
    <w:rsid w:val="00021DB8"/>
    <w:rsid w:val="0002613C"/>
    <w:rsid w:val="00026439"/>
    <w:rsid w:val="00026D7E"/>
    <w:rsid w:val="000304FC"/>
    <w:rsid w:val="00035FDD"/>
    <w:rsid w:val="00044362"/>
    <w:rsid w:val="00045EAC"/>
    <w:rsid w:val="00047E4C"/>
    <w:rsid w:val="00051E69"/>
    <w:rsid w:val="000573C4"/>
    <w:rsid w:val="00060432"/>
    <w:rsid w:val="00067AC6"/>
    <w:rsid w:val="0007541E"/>
    <w:rsid w:val="00083833"/>
    <w:rsid w:val="00084148"/>
    <w:rsid w:val="000869C9"/>
    <w:rsid w:val="000902D9"/>
    <w:rsid w:val="000910A3"/>
    <w:rsid w:val="00096B79"/>
    <w:rsid w:val="000A150A"/>
    <w:rsid w:val="000A1691"/>
    <w:rsid w:val="000A4BA2"/>
    <w:rsid w:val="000A6FB2"/>
    <w:rsid w:val="000B1221"/>
    <w:rsid w:val="000B1B59"/>
    <w:rsid w:val="000B4E88"/>
    <w:rsid w:val="000C130F"/>
    <w:rsid w:val="000C3D09"/>
    <w:rsid w:val="000C47BC"/>
    <w:rsid w:val="000D013B"/>
    <w:rsid w:val="000D1537"/>
    <w:rsid w:val="000D3126"/>
    <w:rsid w:val="000E2B29"/>
    <w:rsid w:val="000E5D00"/>
    <w:rsid w:val="000E750F"/>
    <w:rsid w:val="000F148E"/>
    <w:rsid w:val="000F3CA1"/>
    <w:rsid w:val="000F485F"/>
    <w:rsid w:val="000F61FA"/>
    <w:rsid w:val="000F6493"/>
    <w:rsid w:val="00103BCD"/>
    <w:rsid w:val="0010709E"/>
    <w:rsid w:val="0011239B"/>
    <w:rsid w:val="00114490"/>
    <w:rsid w:val="00114B73"/>
    <w:rsid w:val="001156A8"/>
    <w:rsid w:val="00121F44"/>
    <w:rsid w:val="00130E84"/>
    <w:rsid w:val="00131704"/>
    <w:rsid w:val="00135A85"/>
    <w:rsid w:val="00135D52"/>
    <w:rsid w:val="00135EA2"/>
    <w:rsid w:val="001364F1"/>
    <w:rsid w:val="00141D87"/>
    <w:rsid w:val="001425A8"/>
    <w:rsid w:val="0014535E"/>
    <w:rsid w:val="0014692E"/>
    <w:rsid w:val="0014695C"/>
    <w:rsid w:val="0014699F"/>
    <w:rsid w:val="00147574"/>
    <w:rsid w:val="00147974"/>
    <w:rsid w:val="001514BA"/>
    <w:rsid w:val="00151708"/>
    <w:rsid w:val="0015304E"/>
    <w:rsid w:val="00153387"/>
    <w:rsid w:val="00157D3B"/>
    <w:rsid w:val="00164710"/>
    <w:rsid w:val="00165A88"/>
    <w:rsid w:val="00177734"/>
    <w:rsid w:val="00182432"/>
    <w:rsid w:val="001830A5"/>
    <w:rsid w:val="00184610"/>
    <w:rsid w:val="0018571C"/>
    <w:rsid w:val="00190BDE"/>
    <w:rsid w:val="00191F25"/>
    <w:rsid w:val="00192763"/>
    <w:rsid w:val="00192EA2"/>
    <w:rsid w:val="00194494"/>
    <w:rsid w:val="00196C20"/>
    <w:rsid w:val="0019716C"/>
    <w:rsid w:val="001A55F0"/>
    <w:rsid w:val="001A74D6"/>
    <w:rsid w:val="001C1289"/>
    <w:rsid w:val="001C4578"/>
    <w:rsid w:val="001C4F5B"/>
    <w:rsid w:val="001C6CC2"/>
    <w:rsid w:val="001D01D4"/>
    <w:rsid w:val="001D03A1"/>
    <w:rsid w:val="001D04FC"/>
    <w:rsid w:val="001D1D6A"/>
    <w:rsid w:val="001D2827"/>
    <w:rsid w:val="001E0C74"/>
    <w:rsid w:val="001E60B8"/>
    <w:rsid w:val="001F1AE4"/>
    <w:rsid w:val="001F3DB8"/>
    <w:rsid w:val="001F46A6"/>
    <w:rsid w:val="001F48F8"/>
    <w:rsid w:val="001F4DDF"/>
    <w:rsid w:val="001F672F"/>
    <w:rsid w:val="00200430"/>
    <w:rsid w:val="002016A3"/>
    <w:rsid w:val="0020173D"/>
    <w:rsid w:val="0020195C"/>
    <w:rsid w:val="00203929"/>
    <w:rsid w:val="00205A69"/>
    <w:rsid w:val="00207C14"/>
    <w:rsid w:val="00210014"/>
    <w:rsid w:val="00210C03"/>
    <w:rsid w:val="00215A9C"/>
    <w:rsid w:val="0022008B"/>
    <w:rsid w:val="00223EB7"/>
    <w:rsid w:val="00224097"/>
    <w:rsid w:val="0022600B"/>
    <w:rsid w:val="00227BE1"/>
    <w:rsid w:val="002306BD"/>
    <w:rsid w:val="00237633"/>
    <w:rsid w:val="00245AF8"/>
    <w:rsid w:val="002462F3"/>
    <w:rsid w:val="002475BB"/>
    <w:rsid w:val="002515BC"/>
    <w:rsid w:val="00253B19"/>
    <w:rsid w:val="00255F4A"/>
    <w:rsid w:val="00257218"/>
    <w:rsid w:val="00257624"/>
    <w:rsid w:val="00260C1E"/>
    <w:rsid w:val="00261561"/>
    <w:rsid w:val="00263764"/>
    <w:rsid w:val="0026413F"/>
    <w:rsid w:val="00264CDE"/>
    <w:rsid w:val="002666A3"/>
    <w:rsid w:val="0026749F"/>
    <w:rsid w:val="00271FBB"/>
    <w:rsid w:val="00273356"/>
    <w:rsid w:val="0027353D"/>
    <w:rsid w:val="002755C2"/>
    <w:rsid w:val="00277A91"/>
    <w:rsid w:val="0028196B"/>
    <w:rsid w:val="002843F4"/>
    <w:rsid w:val="00284F85"/>
    <w:rsid w:val="00285F5A"/>
    <w:rsid w:val="00286246"/>
    <w:rsid w:val="002864B5"/>
    <w:rsid w:val="00287657"/>
    <w:rsid w:val="00287C52"/>
    <w:rsid w:val="00290171"/>
    <w:rsid w:val="00291266"/>
    <w:rsid w:val="002935E0"/>
    <w:rsid w:val="00295E2A"/>
    <w:rsid w:val="00296B6F"/>
    <w:rsid w:val="002A0ACD"/>
    <w:rsid w:val="002A0F54"/>
    <w:rsid w:val="002A1595"/>
    <w:rsid w:val="002A1D90"/>
    <w:rsid w:val="002A20C4"/>
    <w:rsid w:val="002A34E1"/>
    <w:rsid w:val="002A7E8F"/>
    <w:rsid w:val="002B1919"/>
    <w:rsid w:val="002B25F1"/>
    <w:rsid w:val="002C168B"/>
    <w:rsid w:val="002C3344"/>
    <w:rsid w:val="002C4536"/>
    <w:rsid w:val="002C6461"/>
    <w:rsid w:val="002C6971"/>
    <w:rsid w:val="002D0821"/>
    <w:rsid w:val="002D4363"/>
    <w:rsid w:val="002D45A1"/>
    <w:rsid w:val="002D5A67"/>
    <w:rsid w:val="002E1CAE"/>
    <w:rsid w:val="002E4DA3"/>
    <w:rsid w:val="002E5F16"/>
    <w:rsid w:val="002E6916"/>
    <w:rsid w:val="002F20CF"/>
    <w:rsid w:val="002F3027"/>
    <w:rsid w:val="002F5502"/>
    <w:rsid w:val="002F58C6"/>
    <w:rsid w:val="002F63E4"/>
    <w:rsid w:val="00303BFC"/>
    <w:rsid w:val="003042D6"/>
    <w:rsid w:val="00304D28"/>
    <w:rsid w:val="003058CA"/>
    <w:rsid w:val="003127F1"/>
    <w:rsid w:val="00312C1B"/>
    <w:rsid w:val="00315BE9"/>
    <w:rsid w:val="00320DC1"/>
    <w:rsid w:val="0032249B"/>
    <w:rsid w:val="003225A3"/>
    <w:rsid w:val="00323CA8"/>
    <w:rsid w:val="003253D7"/>
    <w:rsid w:val="003256CA"/>
    <w:rsid w:val="00327878"/>
    <w:rsid w:val="00331B5B"/>
    <w:rsid w:val="00331CDE"/>
    <w:rsid w:val="00334543"/>
    <w:rsid w:val="00335A8B"/>
    <w:rsid w:val="00336733"/>
    <w:rsid w:val="00337FDD"/>
    <w:rsid w:val="00341268"/>
    <w:rsid w:val="003415C4"/>
    <w:rsid w:val="00341F95"/>
    <w:rsid w:val="00343A6D"/>
    <w:rsid w:val="003469EC"/>
    <w:rsid w:val="00350D54"/>
    <w:rsid w:val="00353D1E"/>
    <w:rsid w:val="003547E3"/>
    <w:rsid w:val="0036204B"/>
    <w:rsid w:val="0036576F"/>
    <w:rsid w:val="00365ADF"/>
    <w:rsid w:val="00367187"/>
    <w:rsid w:val="00370C6D"/>
    <w:rsid w:val="003718CC"/>
    <w:rsid w:val="00373A48"/>
    <w:rsid w:val="00377F2B"/>
    <w:rsid w:val="003804F5"/>
    <w:rsid w:val="00385E33"/>
    <w:rsid w:val="003860A8"/>
    <w:rsid w:val="00386375"/>
    <w:rsid w:val="00386DC0"/>
    <w:rsid w:val="003917E8"/>
    <w:rsid w:val="003951E6"/>
    <w:rsid w:val="00396869"/>
    <w:rsid w:val="0039701C"/>
    <w:rsid w:val="003A0A8F"/>
    <w:rsid w:val="003A0E1B"/>
    <w:rsid w:val="003A6E26"/>
    <w:rsid w:val="003B089F"/>
    <w:rsid w:val="003B41B3"/>
    <w:rsid w:val="003B4684"/>
    <w:rsid w:val="003B4915"/>
    <w:rsid w:val="003B5256"/>
    <w:rsid w:val="003B5D2F"/>
    <w:rsid w:val="003B6EFB"/>
    <w:rsid w:val="003C009A"/>
    <w:rsid w:val="003C033E"/>
    <w:rsid w:val="003C1695"/>
    <w:rsid w:val="003C4588"/>
    <w:rsid w:val="003C7146"/>
    <w:rsid w:val="003D03D2"/>
    <w:rsid w:val="003D0F1A"/>
    <w:rsid w:val="003E27B8"/>
    <w:rsid w:val="003E5C48"/>
    <w:rsid w:val="003F1C73"/>
    <w:rsid w:val="003F6E96"/>
    <w:rsid w:val="00401248"/>
    <w:rsid w:val="00404CF5"/>
    <w:rsid w:val="00404D8D"/>
    <w:rsid w:val="004073A1"/>
    <w:rsid w:val="0040746C"/>
    <w:rsid w:val="0041580D"/>
    <w:rsid w:val="00415E0D"/>
    <w:rsid w:val="00416BF5"/>
    <w:rsid w:val="00417769"/>
    <w:rsid w:val="00422B78"/>
    <w:rsid w:val="00423750"/>
    <w:rsid w:val="00424BC3"/>
    <w:rsid w:val="00430DB9"/>
    <w:rsid w:val="00431A9C"/>
    <w:rsid w:val="004408C6"/>
    <w:rsid w:val="004435BE"/>
    <w:rsid w:val="004436BF"/>
    <w:rsid w:val="0044389C"/>
    <w:rsid w:val="00444D85"/>
    <w:rsid w:val="0044564F"/>
    <w:rsid w:val="00445AB0"/>
    <w:rsid w:val="00445D0B"/>
    <w:rsid w:val="00447449"/>
    <w:rsid w:val="0045412E"/>
    <w:rsid w:val="00455074"/>
    <w:rsid w:val="004566B2"/>
    <w:rsid w:val="004573E1"/>
    <w:rsid w:val="0046032B"/>
    <w:rsid w:val="00461B52"/>
    <w:rsid w:val="0046370F"/>
    <w:rsid w:val="00466C39"/>
    <w:rsid w:val="00473813"/>
    <w:rsid w:val="00475CDA"/>
    <w:rsid w:val="00482228"/>
    <w:rsid w:val="004823F8"/>
    <w:rsid w:val="00487914"/>
    <w:rsid w:val="00494CCD"/>
    <w:rsid w:val="004A78BF"/>
    <w:rsid w:val="004B02F8"/>
    <w:rsid w:val="004B15D1"/>
    <w:rsid w:val="004B3673"/>
    <w:rsid w:val="004B3FC6"/>
    <w:rsid w:val="004B4CA8"/>
    <w:rsid w:val="004B5046"/>
    <w:rsid w:val="004B5163"/>
    <w:rsid w:val="004B661C"/>
    <w:rsid w:val="004C1632"/>
    <w:rsid w:val="004C4093"/>
    <w:rsid w:val="004C7FB3"/>
    <w:rsid w:val="004D2FFB"/>
    <w:rsid w:val="004D30EC"/>
    <w:rsid w:val="004D4A89"/>
    <w:rsid w:val="004D5E5B"/>
    <w:rsid w:val="004D71D5"/>
    <w:rsid w:val="004D7F0A"/>
    <w:rsid w:val="004E49CC"/>
    <w:rsid w:val="004E5651"/>
    <w:rsid w:val="004E7318"/>
    <w:rsid w:val="004F2CDD"/>
    <w:rsid w:val="004F3519"/>
    <w:rsid w:val="004F4D61"/>
    <w:rsid w:val="004F6F15"/>
    <w:rsid w:val="0050658A"/>
    <w:rsid w:val="005065E7"/>
    <w:rsid w:val="00507123"/>
    <w:rsid w:val="00513855"/>
    <w:rsid w:val="0051409B"/>
    <w:rsid w:val="00514AFE"/>
    <w:rsid w:val="00516F2F"/>
    <w:rsid w:val="00517856"/>
    <w:rsid w:val="00523CD3"/>
    <w:rsid w:val="00524517"/>
    <w:rsid w:val="00525A15"/>
    <w:rsid w:val="00526F9D"/>
    <w:rsid w:val="00530602"/>
    <w:rsid w:val="00537A98"/>
    <w:rsid w:val="00541349"/>
    <w:rsid w:val="00544CE4"/>
    <w:rsid w:val="0054542B"/>
    <w:rsid w:val="005456DD"/>
    <w:rsid w:val="005469DB"/>
    <w:rsid w:val="00550A5A"/>
    <w:rsid w:val="00552828"/>
    <w:rsid w:val="00554BA6"/>
    <w:rsid w:val="00557BC8"/>
    <w:rsid w:val="0056110C"/>
    <w:rsid w:val="005621B3"/>
    <w:rsid w:val="00563B34"/>
    <w:rsid w:val="0056429B"/>
    <w:rsid w:val="0057575B"/>
    <w:rsid w:val="00584261"/>
    <w:rsid w:val="00590322"/>
    <w:rsid w:val="005914AC"/>
    <w:rsid w:val="00592129"/>
    <w:rsid w:val="005975F4"/>
    <w:rsid w:val="0059765E"/>
    <w:rsid w:val="005A069A"/>
    <w:rsid w:val="005A35F3"/>
    <w:rsid w:val="005A3EA8"/>
    <w:rsid w:val="005B18B4"/>
    <w:rsid w:val="005B24D7"/>
    <w:rsid w:val="005C1900"/>
    <w:rsid w:val="005C6D5A"/>
    <w:rsid w:val="005C7C25"/>
    <w:rsid w:val="005D0E6F"/>
    <w:rsid w:val="005D24CC"/>
    <w:rsid w:val="005D255B"/>
    <w:rsid w:val="005D350B"/>
    <w:rsid w:val="005D4F0F"/>
    <w:rsid w:val="005E09A7"/>
    <w:rsid w:val="005E30D6"/>
    <w:rsid w:val="005E43D8"/>
    <w:rsid w:val="005E474E"/>
    <w:rsid w:val="005E697B"/>
    <w:rsid w:val="005F0920"/>
    <w:rsid w:val="005F4989"/>
    <w:rsid w:val="005F6BB0"/>
    <w:rsid w:val="006011D0"/>
    <w:rsid w:val="00604BCF"/>
    <w:rsid w:val="00606E9C"/>
    <w:rsid w:val="00607193"/>
    <w:rsid w:val="006115AA"/>
    <w:rsid w:val="00611911"/>
    <w:rsid w:val="006154EF"/>
    <w:rsid w:val="006156D8"/>
    <w:rsid w:val="00615E4F"/>
    <w:rsid w:val="00620EA9"/>
    <w:rsid w:val="00621531"/>
    <w:rsid w:val="0062176E"/>
    <w:rsid w:val="00621B0A"/>
    <w:rsid w:val="0062244A"/>
    <w:rsid w:val="00626BDF"/>
    <w:rsid w:val="006270AB"/>
    <w:rsid w:val="006272E2"/>
    <w:rsid w:val="00635F62"/>
    <w:rsid w:val="00635F8A"/>
    <w:rsid w:val="00641C59"/>
    <w:rsid w:val="006429C7"/>
    <w:rsid w:val="006431CF"/>
    <w:rsid w:val="006439EC"/>
    <w:rsid w:val="006447DB"/>
    <w:rsid w:val="00653CBE"/>
    <w:rsid w:val="00654377"/>
    <w:rsid w:val="006765F1"/>
    <w:rsid w:val="00676A6F"/>
    <w:rsid w:val="006803FF"/>
    <w:rsid w:val="00680711"/>
    <w:rsid w:val="00682D58"/>
    <w:rsid w:val="00684A25"/>
    <w:rsid w:val="006852F1"/>
    <w:rsid w:val="00687BEA"/>
    <w:rsid w:val="00687FDB"/>
    <w:rsid w:val="00695729"/>
    <w:rsid w:val="00696A2B"/>
    <w:rsid w:val="006A20E3"/>
    <w:rsid w:val="006A4F4D"/>
    <w:rsid w:val="006A5141"/>
    <w:rsid w:val="006A52FA"/>
    <w:rsid w:val="006A64E3"/>
    <w:rsid w:val="006A6CB5"/>
    <w:rsid w:val="006B00E0"/>
    <w:rsid w:val="006B0591"/>
    <w:rsid w:val="006B0FD1"/>
    <w:rsid w:val="006B2D0B"/>
    <w:rsid w:val="006B3B04"/>
    <w:rsid w:val="006B3C9B"/>
    <w:rsid w:val="006B7BC6"/>
    <w:rsid w:val="006C1FB0"/>
    <w:rsid w:val="006C3B02"/>
    <w:rsid w:val="006C5941"/>
    <w:rsid w:val="006C5FE6"/>
    <w:rsid w:val="006C6390"/>
    <w:rsid w:val="006D6123"/>
    <w:rsid w:val="006E76D5"/>
    <w:rsid w:val="006F3607"/>
    <w:rsid w:val="006F59E2"/>
    <w:rsid w:val="006F5A59"/>
    <w:rsid w:val="0070052E"/>
    <w:rsid w:val="00703B0A"/>
    <w:rsid w:val="007048A9"/>
    <w:rsid w:val="00704F0D"/>
    <w:rsid w:val="007059F6"/>
    <w:rsid w:val="00707CF1"/>
    <w:rsid w:val="00710407"/>
    <w:rsid w:val="00711ED9"/>
    <w:rsid w:val="00712977"/>
    <w:rsid w:val="00712C6E"/>
    <w:rsid w:val="00713167"/>
    <w:rsid w:val="0071552D"/>
    <w:rsid w:val="00715A30"/>
    <w:rsid w:val="007174D1"/>
    <w:rsid w:val="00717E9F"/>
    <w:rsid w:val="0072062E"/>
    <w:rsid w:val="00723797"/>
    <w:rsid w:val="007237DF"/>
    <w:rsid w:val="00727AE9"/>
    <w:rsid w:val="00731419"/>
    <w:rsid w:val="00731533"/>
    <w:rsid w:val="00733412"/>
    <w:rsid w:val="007353C4"/>
    <w:rsid w:val="007375A8"/>
    <w:rsid w:val="007477F8"/>
    <w:rsid w:val="007520D2"/>
    <w:rsid w:val="00752C86"/>
    <w:rsid w:val="00753192"/>
    <w:rsid w:val="0075373D"/>
    <w:rsid w:val="00753BF4"/>
    <w:rsid w:val="00755612"/>
    <w:rsid w:val="00756C77"/>
    <w:rsid w:val="00760BF8"/>
    <w:rsid w:val="0076307A"/>
    <w:rsid w:val="00765F24"/>
    <w:rsid w:val="00770548"/>
    <w:rsid w:val="0077233D"/>
    <w:rsid w:val="0077252A"/>
    <w:rsid w:val="0077276C"/>
    <w:rsid w:val="007735F5"/>
    <w:rsid w:val="00773CC4"/>
    <w:rsid w:val="00774100"/>
    <w:rsid w:val="007764CB"/>
    <w:rsid w:val="00776D14"/>
    <w:rsid w:val="0078451F"/>
    <w:rsid w:val="00784C2E"/>
    <w:rsid w:val="00790997"/>
    <w:rsid w:val="00797177"/>
    <w:rsid w:val="007A0392"/>
    <w:rsid w:val="007A03E0"/>
    <w:rsid w:val="007A042E"/>
    <w:rsid w:val="007A477E"/>
    <w:rsid w:val="007B098C"/>
    <w:rsid w:val="007B37E4"/>
    <w:rsid w:val="007B4236"/>
    <w:rsid w:val="007B473B"/>
    <w:rsid w:val="007B5A51"/>
    <w:rsid w:val="007C0E8B"/>
    <w:rsid w:val="007C1B05"/>
    <w:rsid w:val="007C6A29"/>
    <w:rsid w:val="007C7509"/>
    <w:rsid w:val="007C7E32"/>
    <w:rsid w:val="007D1037"/>
    <w:rsid w:val="007D48EE"/>
    <w:rsid w:val="007D672E"/>
    <w:rsid w:val="007D7C89"/>
    <w:rsid w:val="007E2C01"/>
    <w:rsid w:val="007E4126"/>
    <w:rsid w:val="007E45B7"/>
    <w:rsid w:val="007F1891"/>
    <w:rsid w:val="007F18D6"/>
    <w:rsid w:val="007F27BB"/>
    <w:rsid w:val="007F4C7C"/>
    <w:rsid w:val="007F5D08"/>
    <w:rsid w:val="007F7789"/>
    <w:rsid w:val="00800AF1"/>
    <w:rsid w:val="00801460"/>
    <w:rsid w:val="00803A26"/>
    <w:rsid w:val="00805D48"/>
    <w:rsid w:val="00807DF8"/>
    <w:rsid w:val="00811259"/>
    <w:rsid w:val="0081181A"/>
    <w:rsid w:val="008130D1"/>
    <w:rsid w:val="0081409A"/>
    <w:rsid w:val="008141B9"/>
    <w:rsid w:val="00815C34"/>
    <w:rsid w:val="00815D79"/>
    <w:rsid w:val="00822760"/>
    <w:rsid w:val="008261EB"/>
    <w:rsid w:val="00830298"/>
    <w:rsid w:val="008303E1"/>
    <w:rsid w:val="0083048B"/>
    <w:rsid w:val="008317A3"/>
    <w:rsid w:val="00832DF0"/>
    <w:rsid w:val="0083439B"/>
    <w:rsid w:val="00835C1E"/>
    <w:rsid w:val="00844EDE"/>
    <w:rsid w:val="00845F09"/>
    <w:rsid w:val="00850420"/>
    <w:rsid w:val="00852139"/>
    <w:rsid w:val="0085476E"/>
    <w:rsid w:val="008565D7"/>
    <w:rsid w:val="00860B9B"/>
    <w:rsid w:val="0086143E"/>
    <w:rsid w:val="00862E2E"/>
    <w:rsid w:val="00863D90"/>
    <w:rsid w:val="008652B2"/>
    <w:rsid w:val="0087702C"/>
    <w:rsid w:val="00877828"/>
    <w:rsid w:val="008810CE"/>
    <w:rsid w:val="008815A9"/>
    <w:rsid w:val="00885E91"/>
    <w:rsid w:val="008862CF"/>
    <w:rsid w:val="0088634F"/>
    <w:rsid w:val="008917C8"/>
    <w:rsid w:val="008944D0"/>
    <w:rsid w:val="00894BEA"/>
    <w:rsid w:val="00894F1C"/>
    <w:rsid w:val="00895B4F"/>
    <w:rsid w:val="008A1343"/>
    <w:rsid w:val="008A63B4"/>
    <w:rsid w:val="008B248C"/>
    <w:rsid w:val="008B3AC9"/>
    <w:rsid w:val="008B42E2"/>
    <w:rsid w:val="008B491A"/>
    <w:rsid w:val="008B5580"/>
    <w:rsid w:val="008C48EC"/>
    <w:rsid w:val="008C6DB1"/>
    <w:rsid w:val="008C7FD2"/>
    <w:rsid w:val="008D4C14"/>
    <w:rsid w:val="008D5424"/>
    <w:rsid w:val="008E1F38"/>
    <w:rsid w:val="008E4EC6"/>
    <w:rsid w:val="008E514F"/>
    <w:rsid w:val="008E6B42"/>
    <w:rsid w:val="008E7B34"/>
    <w:rsid w:val="008F1CEC"/>
    <w:rsid w:val="008F4C11"/>
    <w:rsid w:val="008F7AA1"/>
    <w:rsid w:val="0090076F"/>
    <w:rsid w:val="0090392E"/>
    <w:rsid w:val="009073E0"/>
    <w:rsid w:val="009107F5"/>
    <w:rsid w:val="009158B5"/>
    <w:rsid w:val="009222E2"/>
    <w:rsid w:val="00922E07"/>
    <w:rsid w:val="00924338"/>
    <w:rsid w:val="00932748"/>
    <w:rsid w:val="00934EAE"/>
    <w:rsid w:val="00937591"/>
    <w:rsid w:val="00937FAB"/>
    <w:rsid w:val="00942895"/>
    <w:rsid w:val="009537C9"/>
    <w:rsid w:val="00953F74"/>
    <w:rsid w:val="00956CB3"/>
    <w:rsid w:val="00956F1B"/>
    <w:rsid w:val="00956FB8"/>
    <w:rsid w:val="00957F90"/>
    <w:rsid w:val="009612F2"/>
    <w:rsid w:val="0096322B"/>
    <w:rsid w:val="00963D10"/>
    <w:rsid w:val="009653F6"/>
    <w:rsid w:val="00965404"/>
    <w:rsid w:val="00967789"/>
    <w:rsid w:val="00970BF1"/>
    <w:rsid w:val="00976DF5"/>
    <w:rsid w:val="009830A6"/>
    <w:rsid w:val="00983BDF"/>
    <w:rsid w:val="009872BC"/>
    <w:rsid w:val="0098748A"/>
    <w:rsid w:val="0099150C"/>
    <w:rsid w:val="00994BDD"/>
    <w:rsid w:val="00995725"/>
    <w:rsid w:val="009A43D0"/>
    <w:rsid w:val="009A44BB"/>
    <w:rsid w:val="009A51C9"/>
    <w:rsid w:val="009A57F6"/>
    <w:rsid w:val="009B1DF8"/>
    <w:rsid w:val="009B27DD"/>
    <w:rsid w:val="009B2A4C"/>
    <w:rsid w:val="009B3187"/>
    <w:rsid w:val="009B5BDD"/>
    <w:rsid w:val="009C3FB1"/>
    <w:rsid w:val="009C4F26"/>
    <w:rsid w:val="009C65C7"/>
    <w:rsid w:val="009C740C"/>
    <w:rsid w:val="009D0FB0"/>
    <w:rsid w:val="009D2A40"/>
    <w:rsid w:val="009D3996"/>
    <w:rsid w:val="009D4533"/>
    <w:rsid w:val="009D45B9"/>
    <w:rsid w:val="009D5FF8"/>
    <w:rsid w:val="009D6EBF"/>
    <w:rsid w:val="009D7D88"/>
    <w:rsid w:val="009E3992"/>
    <w:rsid w:val="009E7E78"/>
    <w:rsid w:val="009F106C"/>
    <w:rsid w:val="009F1171"/>
    <w:rsid w:val="00A00D11"/>
    <w:rsid w:val="00A04856"/>
    <w:rsid w:val="00A07548"/>
    <w:rsid w:val="00A11C87"/>
    <w:rsid w:val="00A1451C"/>
    <w:rsid w:val="00A14E93"/>
    <w:rsid w:val="00A1680B"/>
    <w:rsid w:val="00A16A53"/>
    <w:rsid w:val="00A1714E"/>
    <w:rsid w:val="00A212FE"/>
    <w:rsid w:val="00A22C3D"/>
    <w:rsid w:val="00A2537F"/>
    <w:rsid w:val="00A2550D"/>
    <w:rsid w:val="00A27E73"/>
    <w:rsid w:val="00A33A6F"/>
    <w:rsid w:val="00A346F6"/>
    <w:rsid w:val="00A34E76"/>
    <w:rsid w:val="00A358C7"/>
    <w:rsid w:val="00A42481"/>
    <w:rsid w:val="00A4422B"/>
    <w:rsid w:val="00A468D8"/>
    <w:rsid w:val="00A47985"/>
    <w:rsid w:val="00A55603"/>
    <w:rsid w:val="00A60B22"/>
    <w:rsid w:val="00A6172B"/>
    <w:rsid w:val="00A62F93"/>
    <w:rsid w:val="00A65008"/>
    <w:rsid w:val="00A71887"/>
    <w:rsid w:val="00A7223A"/>
    <w:rsid w:val="00A761A1"/>
    <w:rsid w:val="00A80462"/>
    <w:rsid w:val="00A80F96"/>
    <w:rsid w:val="00A826B3"/>
    <w:rsid w:val="00A84A63"/>
    <w:rsid w:val="00A86067"/>
    <w:rsid w:val="00A903F7"/>
    <w:rsid w:val="00A91030"/>
    <w:rsid w:val="00A92DD8"/>
    <w:rsid w:val="00A979AB"/>
    <w:rsid w:val="00AA0479"/>
    <w:rsid w:val="00AA2105"/>
    <w:rsid w:val="00AA2548"/>
    <w:rsid w:val="00AA44EA"/>
    <w:rsid w:val="00AA54CE"/>
    <w:rsid w:val="00AA72BE"/>
    <w:rsid w:val="00AA79EF"/>
    <w:rsid w:val="00AB081D"/>
    <w:rsid w:val="00AB3D35"/>
    <w:rsid w:val="00AB5C07"/>
    <w:rsid w:val="00AB5D13"/>
    <w:rsid w:val="00AC1651"/>
    <w:rsid w:val="00AC18D1"/>
    <w:rsid w:val="00AC479B"/>
    <w:rsid w:val="00AC68E8"/>
    <w:rsid w:val="00AD02F8"/>
    <w:rsid w:val="00AD08ED"/>
    <w:rsid w:val="00AD1EF7"/>
    <w:rsid w:val="00AD2D34"/>
    <w:rsid w:val="00AD3217"/>
    <w:rsid w:val="00AD7837"/>
    <w:rsid w:val="00AE0929"/>
    <w:rsid w:val="00AE0F53"/>
    <w:rsid w:val="00AE165A"/>
    <w:rsid w:val="00AE2843"/>
    <w:rsid w:val="00AE47BC"/>
    <w:rsid w:val="00AE78B7"/>
    <w:rsid w:val="00AF2F32"/>
    <w:rsid w:val="00AF36FF"/>
    <w:rsid w:val="00AF430E"/>
    <w:rsid w:val="00AF52F8"/>
    <w:rsid w:val="00B100EF"/>
    <w:rsid w:val="00B10FE7"/>
    <w:rsid w:val="00B1178F"/>
    <w:rsid w:val="00B120AE"/>
    <w:rsid w:val="00B1481E"/>
    <w:rsid w:val="00B15BB2"/>
    <w:rsid w:val="00B1729C"/>
    <w:rsid w:val="00B17B71"/>
    <w:rsid w:val="00B2169B"/>
    <w:rsid w:val="00B33618"/>
    <w:rsid w:val="00B33D8E"/>
    <w:rsid w:val="00B34D6A"/>
    <w:rsid w:val="00B35B6C"/>
    <w:rsid w:val="00B42855"/>
    <w:rsid w:val="00B43C9E"/>
    <w:rsid w:val="00B44B08"/>
    <w:rsid w:val="00B45CA9"/>
    <w:rsid w:val="00B63968"/>
    <w:rsid w:val="00B6650C"/>
    <w:rsid w:val="00B70557"/>
    <w:rsid w:val="00B70847"/>
    <w:rsid w:val="00B70BAF"/>
    <w:rsid w:val="00B774FD"/>
    <w:rsid w:val="00B77AE2"/>
    <w:rsid w:val="00B907E9"/>
    <w:rsid w:val="00B93BFF"/>
    <w:rsid w:val="00B94088"/>
    <w:rsid w:val="00B94431"/>
    <w:rsid w:val="00B9649F"/>
    <w:rsid w:val="00BA0027"/>
    <w:rsid w:val="00BA33EA"/>
    <w:rsid w:val="00BA6938"/>
    <w:rsid w:val="00BB40BD"/>
    <w:rsid w:val="00BC0BF7"/>
    <w:rsid w:val="00BC275D"/>
    <w:rsid w:val="00BC2B53"/>
    <w:rsid w:val="00BC3A03"/>
    <w:rsid w:val="00BD05B2"/>
    <w:rsid w:val="00BD2F5D"/>
    <w:rsid w:val="00BD337B"/>
    <w:rsid w:val="00BD4424"/>
    <w:rsid w:val="00BD4E74"/>
    <w:rsid w:val="00BD5CDD"/>
    <w:rsid w:val="00BD66B5"/>
    <w:rsid w:val="00BD784A"/>
    <w:rsid w:val="00BD7C21"/>
    <w:rsid w:val="00BE0A4D"/>
    <w:rsid w:val="00BE26A2"/>
    <w:rsid w:val="00BE3F8E"/>
    <w:rsid w:val="00BE55D5"/>
    <w:rsid w:val="00BE57FC"/>
    <w:rsid w:val="00BE63F0"/>
    <w:rsid w:val="00BE73B8"/>
    <w:rsid w:val="00BE7B33"/>
    <w:rsid w:val="00BF1BB4"/>
    <w:rsid w:val="00BF4223"/>
    <w:rsid w:val="00BF4F30"/>
    <w:rsid w:val="00BF6A29"/>
    <w:rsid w:val="00C000DE"/>
    <w:rsid w:val="00C07989"/>
    <w:rsid w:val="00C07CE5"/>
    <w:rsid w:val="00C156B0"/>
    <w:rsid w:val="00C15F44"/>
    <w:rsid w:val="00C235DE"/>
    <w:rsid w:val="00C25F31"/>
    <w:rsid w:val="00C303B4"/>
    <w:rsid w:val="00C312A9"/>
    <w:rsid w:val="00C31491"/>
    <w:rsid w:val="00C33C4E"/>
    <w:rsid w:val="00C40262"/>
    <w:rsid w:val="00C40D5F"/>
    <w:rsid w:val="00C420BD"/>
    <w:rsid w:val="00C44B69"/>
    <w:rsid w:val="00C51135"/>
    <w:rsid w:val="00C5167A"/>
    <w:rsid w:val="00C51890"/>
    <w:rsid w:val="00C51D34"/>
    <w:rsid w:val="00C52773"/>
    <w:rsid w:val="00C5331F"/>
    <w:rsid w:val="00C53AA4"/>
    <w:rsid w:val="00C54978"/>
    <w:rsid w:val="00C54B40"/>
    <w:rsid w:val="00C605A4"/>
    <w:rsid w:val="00C62766"/>
    <w:rsid w:val="00C637BE"/>
    <w:rsid w:val="00C670E4"/>
    <w:rsid w:val="00C722BE"/>
    <w:rsid w:val="00C73B67"/>
    <w:rsid w:val="00C75498"/>
    <w:rsid w:val="00C769E3"/>
    <w:rsid w:val="00C81E75"/>
    <w:rsid w:val="00C8245D"/>
    <w:rsid w:val="00C8491F"/>
    <w:rsid w:val="00C8552C"/>
    <w:rsid w:val="00C85BF7"/>
    <w:rsid w:val="00C8676D"/>
    <w:rsid w:val="00C86F7C"/>
    <w:rsid w:val="00C91A44"/>
    <w:rsid w:val="00C9260E"/>
    <w:rsid w:val="00C93758"/>
    <w:rsid w:val="00C9612E"/>
    <w:rsid w:val="00C97C90"/>
    <w:rsid w:val="00CA106D"/>
    <w:rsid w:val="00CA1252"/>
    <w:rsid w:val="00CA1514"/>
    <w:rsid w:val="00CA30E9"/>
    <w:rsid w:val="00CA34B9"/>
    <w:rsid w:val="00CA4DE3"/>
    <w:rsid w:val="00CA6383"/>
    <w:rsid w:val="00CB30C2"/>
    <w:rsid w:val="00CB75BE"/>
    <w:rsid w:val="00CC2694"/>
    <w:rsid w:val="00CC3CBF"/>
    <w:rsid w:val="00CC5001"/>
    <w:rsid w:val="00CC6E32"/>
    <w:rsid w:val="00CD0341"/>
    <w:rsid w:val="00CD1F5D"/>
    <w:rsid w:val="00CD27F7"/>
    <w:rsid w:val="00CD4984"/>
    <w:rsid w:val="00CD6E75"/>
    <w:rsid w:val="00CD7534"/>
    <w:rsid w:val="00CE1CFA"/>
    <w:rsid w:val="00CF042B"/>
    <w:rsid w:val="00CF0A35"/>
    <w:rsid w:val="00CF19D4"/>
    <w:rsid w:val="00CF5C9A"/>
    <w:rsid w:val="00CF60CA"/>
    <w:rsid w:val="00D05BC6"/>
    <w:rsid w:val="00D0795C"/>
    <w:rsid w:val="00D07B59"/>
    <w:rsid w:val="00D15569"/>
    <w:rsid w:val="00D236F0"/>
    <w:rsid w:val="00D23955"/>
    <w:rsid w:val="00D239B5"/>
    <w:rsid w:val="00D26D77"/>
    <w:rsid w:val="00D308EB"/>
    <w:rsid w:val="00D33A74"/>
    <w:rsid w:val="00D36F53"/>
    <w:rsid w:val="00D36F76"/>
    <w:rsid w:val="00D37DE2"/>
    <w:rsid w:val="00D40AFC"/>
    <w:rsid w:val="00D47D6E"/>
    <w:rsid w:val="00D51CFA"/>
    <w:rsid w:val="00D62857"/>
    <w:rsid w:val="00D643A6"/>
    <w:rsid w:val="00D669BA"/>
    <w:rsid w:val="00D71B95"/>
    <w:rsid w:val="00D72D8F"/>
    <w:rsid w:val="00D813AD"/>
    <w:rsid w:val="00D82542"/>
    <w:rsid w:val="00D863C8"/>
    <w:rsid w:val="00D92327"/>
    <w:rsid w:val="00D9554B"/>
    <w:rsid w:val="00D97A64"/>
    <w:rsid w:val="00DA42E6"/>
    <w:rsid w:val="00DA7952"/>
    <w:rsid w:val="00DB083B"/>
    <w:rsid w:val="00DB2727"/>
    <w:rsid w:val="00DB52D6"/>
    <w:rsid w:val="00DB5396"/>
    <w:rsid w:val="00DB5B3D"/>
    <w:rsid w:val="00DC21CC"/>
    <w:rsid w:val="00DC7E39"/>
    <w:rsid w:val="00DD05F0"/>
    <w:rsid w:val="00DD43A9"/>
    <w:rsid w:val="00DD5AB3"/>
    <w:rsid w:val="00DD63ED"/>
    <w:rsid w:val="00DD65D7"/>
    <w:rsid w:val="00DD71A9"/>
    <w:rsid w:val="00DD79B8"/>
    <w:rsid w:val="00DE4DAF"/>
    <w:rsid w:val="00DE7BE8"/>
    <w:rsid w:val="00DF1B9B"/>
    <w:rsid w:val="00DF273A"/>
    <w:rsid w:val="00DF72D4"/>
    <w:rsid w:val="00E00096"/>
    <w:rsid w:val="00E0137F"/>
    <w:rsid w:val="00E12C70"/>
    <w:rsid w:val="00E13614"/>
    <w:rsid w:val="00E16C08"/>
    <w:rsid w:val="00E224A0"/>
    <w:rsid w:val="00E24DDD"/>
    <w:rsid w:val="00E268E0"/>
    <w:rsid w:val="00E36519"/>
    <w:rsid w:val="00E36559"/>
    <w:rsid w:val="00E36B7E"/>
    <w:rsid w:val="00E45929"/>
    <w:rsid w:val="00E61C19"/>
    <w:rsid w:val="00E61DC2"/>
    <w:rsid w:val="00E6317A"/>
    <w:rsid w:val="00E6354A"/>
    <w:rsid w:val="00E67516"/>
    <w:rsid w:val="00E7119A"/>
    <w:rsid w:val="00E72FFC"/>
    <w:rsid w:val="00E73CAC"/>
    <w:rsid w:val="00E75BE2"/>
    <w:rsid w:val="00E818AE"/>
    <w:rsid w:val="00E85F00"/>
    <w:rsid w:val="00E86FA2"/>
    <w:rsid w:val="00E8721B"/>
    <w:rsid w:val="00E933DD"/>
    <w:rsid w:val="00EA1508"/>
    <w:rsid w:val="00EA2ACD"/>
    <w:rsid w:val="00EA68F6"/>
    <w:rsid w:val="00EA6CC8"/>
    <w:rsid w:val="00EA789D"/>
    <w:rsid w:val="00EB0C2C"/>
    <w:rsid w:val="00EB54E7"/>
    <w:rsid w:val="00EB5C89"/>
    <w:rsid w:val="00EB6738"/>
    <w:rsid w:val="00EB6B78"/>
    <w:rsid w:val="00EC3C2C"/>
    <w:rsid w:val="00ED241D"/>
    <w:rsid w:val="00ED43AD"/>
    <w:rsid w:val="00EE0BEC"/>
    <w:rsid w:val="00EE4D48"/>
    <w:rsid w:val="00EE62AF"/>
    <w:rsid w:val="00EE7148"/>
    <w:rsid w:val="00EF1EBB"/>
    <w:rsid w:val="00EF31C0"/>
    <w:rsid w:val="00EF4C11"/>
    <w:rsid w:val="00EF7EAA"/>
    <w:rsid w:val="00EF7F2E"/>
    <w:rsid w:val="00F03FA7"/>
    <w:rsid w:val="00F04325"/>
    <w:rsid w:val="00F05268"/>
    <w:rsid w:val="00F10AC5"/>
    <w:rsid w:val="00F120AB"/>
    <w:rsid w:val="00F1279F"/>
    <w:rsid w:val="00F1340F"/>
    <w:rsid w:val="00F14E9C"/>
    <w:rsid w:val="00F20ED2"/>
    <w:rsid w:val="00F22090"/>
    <w:rsid w:val="00F24084"/>
    <w:rsid w:val="00F2572E"/>
    <w:rsid w:val="00F265EF"/>
    <w:rsid w:val="00F26698"/>
    <w:rsid w:val="00F3074A"/>
    <w:rsid w:val="00F3179A"/>
    <w:rsid w:val="00F31EC3"/>
    <w:rsid w:val="00F344B9"/>
    <w:rsid w:val="00F353AE"/>
    <w:rsid w:val="00F4050C"/>
    <w:rsid w:val="00F41AC0"/>
    <w:rsid w:val="00F41CCF"/>
    <w:rsid w:val="00F4373A"/>
    <w:rsid w:val="00F43BBE"/>
    <w:rsid w:val="00F44C35"/>
    <w:rsid w:val="00F450BE"/>
    <w:rsid w:val="00F56CC1"/>
    <w:rsid w:val="00F57CB3"/>
    <w:rsid w:val="00F60903"/>
    <w:rsid w:val="00F6474A"/>
    <w:rsid w:val="00F66A45"/>
    <w:rsid w:val="00F67A55"/>
    <w:rsid w:val="00F724AD"/>
    <w:rsid w:val="00F72F68"/>
    <w:rsid w:val="00F74D63"/>
    <w:rsid w:val="00F7778A"/>
    <w:rsid w:val="00F86832"/>
    <w:rsid w:val="00FA1972"/>
    <w:rsid w:val="00FA1EDF"/>
    <w:rsid w:val="00FA2C21"/>
    <w:rsid w:val="00FA2D71"/>
    <w:rsid w:val="00FA6278"/>
    <w:rsid w:val="00FB0F50"/>
    <w:rsid w:val="00FB18EC"/>
    <w:rsid w:val="00FB3007"/>
    <w:rsid w:val="00FB4E85"/>
    <w:rsid w:val="00FB766A"/>
    <w:rsid w:val="00FC1C71"/>
    <w:rsid w:val="00FC39FC"/>
    <w:rsid w:val="00FC3F0A"/>
    <w:rsid w:val="00FC5880"/>
    <w:rsid w:val="00FC6759"/>
    <w:rsid w:val="00FC6C88"/>
    <w:rsid w:val="00FC7BFB"/>
    <w:rsid w:val="00FE7728"/>
    <w:rsid w:val="00FF0D26"/>
    <w:rsid w:val="00FF2CFE"/>
    <w:rsid w:val="00FF4DC8"/>
    <w:rsid w:val="00FF5880"/>
    <w:rsid w:val="00FF5CA0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  <w:style w:type="character" w:styleId="af">
    <w:name w:val="Hyperlink"/>
    <w:basedOn w:val="a0"/>
    <w:uiPriority w:val="99"/>
    <w:semiHidden/>
    <w:unhideWhenUsed/>
    <w:rsid w:val="009A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Activitate%203%20luni%20%20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Activitate%203%20luni%20%202019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Activitate%203%20luni%20%202019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Activitate%2012%20luni%20%202018%20-%20&#1082;&#1086;&#1087;&#1080;&#1103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Activitate%2012%20luni%20%202018%20-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Activitate%203%20luni%20%20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6%20luni%202019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340</c:v>
                </c:pt>
                <c:pt idx="1">
                  <c:v>225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764</c:v>
                </c:pt>
                <c:pt idx="1">
                  <c:v>818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860</c:v>
                </c:pt>
                <c:pt idx="1">
                  <c:v>791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244</c:v>
                </c:pt>
                <c:pt idx="1">
                  <c:v>252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446506623629882E-2"/>
                  <c:y val="3.8291276950015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8682670970344968E-2"/>
                  <c:y val="-2.522507901731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1.12565445026178</c:v>
                </c:pt>
                <c:pt idx="1">
                  <c:v>0.9669926650366748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51.069767441860463</c:v>
                </c:pt>
                <c:pt idx="1">
                  <c:v>57.345132743362832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5522576"/>
        <c:axId val="176852872"/>
        <c:axId val="0"/>
      </c:bar3DChart>
      <c:catAx>
        <c:axId val="1955225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6852872"/>
        <c:crosses val="autoZero"/>
        <c:auto val="1"/>
        <c:lblAlgn val="ctr"/>
        <c:lblOffset val="100"/>
        <c:noMultiLvlLbl val="0"/>
      </c:catAx>
      <c:valAx>
        <c:axId val="176852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52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3 luni  2019.xlsx]penale'!$D$47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2019.xlsx]penale'!$D$48:$D$50</c:f>
              <c:numCache>
                <c:formatCode>0.00%</c:formatCode>
                <c:ptCount val="3"/>
                <c:pt idx="0">
                  <c:v>0.34307992202729043</c:v>
                </c:pt>
                <c:pt idx="1">
                  <c:v>0.44607843137254904</c:v>
                </c:pt>
                <c:pt idx="2">
                  <c:v>0.50632911392405067</c:v>
                </c:pt>
              </c:numCache>
            </c:numRef>
          </c:val>
        </c:ser>
        <c:ser>
          <c:idx val="1"/>
          <c:order val="1"/>
          <c:tx>
            <c:strRef>
              <c:f>'[Activitate 3 luni  2019.xlsx]penale'!$F$47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5A13E67-B951-4FDB-963B-208C3868AF14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1AC8BE0-8E46-4380-B770-C93328149DA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0F1A08C9-B4F7-45EC-8C8D-AA3C766C12D9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2019.xlsx]penale'!$F$48:$F$50</c:f>
              <c:numCache>
                <c:formatCode>0.00%</c:formatCode>
                <c:ptCount val="3"/>
                <c:pt idx="0">
                  <c:v>0.40909090909090912</c:v>
                </c:pt>
                <c:pt idx="1">
                  <c:v>0.2857142857142857</c:v>
                </c:pt>
                <c:pt idx="2">
                  <c:v>0.41249999999999998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3 luni  2019.xlsx]penale'!$F$48:$F$50</c15:f>
                <c15:dlblRangeCache>
                  <c:ptCount val="3"/>
                  <c:pt idx="0">
                    <c:v>40,91%</c:v>
                  </c:pt>
                  <c:pt idx="1">
                    <c:v>28,57%</c:v>
                  </c:pt>
                  <c:pt idx="2">
                    <c:v>41,25%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'[Activitate 3 luni  2019.xlsx]penale'!$H$47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7124861036860103E-2"/>
                  <c:y val="-3.04416948650685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2019.xlsx]penale'!$H$48:$H$50</c:f>
              <c:numCache>
                <c:formatCode>0.00%</c:formatCode>
                <c:ptCount val="3"/>
                <c:pt idx="0">
                  <c:v>0.44444444444444442</c:v>
                </c:pt>
                <c:pt idx="1">
                  <c:v>0.65384615384615385</c:v>
                </c:pt>
                <c:pt idx="2">
                  <c:v>0.36363636363636365</c:v>
                </c:pt>
              </c:numCache>
            </c:numRef>
          </c:val>
        </c:ser>
        <c:ser>
          <c:idx val="3"/>
          <c:order val="3"/>
          <c:tx>
            <c:strRef>
              <c:f>'[Activitate 3 luni  2019.xlsx]penale'!$J$47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49B6840A-6F4C-47F4-8CD3-7F70193E5211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AC1102B-E696-4AB4-A072-C78F830EC37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93AA95B4-0198-41D1-A884-4975B346C0C1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2019.xlsx]penale'!$J$48:$J$50</c:f>
              <c:numCache>
                <c:formatCode>0.00%</c:formatCode>
                <c:ptCount val="3"/>
                <c:pt idx="0">
                  <c:v>0.55555555555555558</c:v>
                </c:pt>
                <c:pt idx="1">
                  <c:v>0.34615384615384615</c:v>
                </c:pt>
                <c:pt idx="2">
                  <c:v>0.63636363636363635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3 luni  2019.xlsx]penale'!$J$48:$J$50</c15:f>
                <c15:dlblRangeCache>
                  <c:ptCount val="3"/>
                  <c:pt idx="0">
                    <c:v>55,56%</c:v>
                  </c:pt>
                  <c:pt idx="1">
                    <c:v>34,62%</c:v>
                  </c:pt>
                  <c:pt idx="2">
                    <c:v>63,64%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1178456"/>
        <c:axId val="221178848"/>
        <c:axId val="0"/>
      </c:bar3DChart>
      <c:catAx>
        <c:axId val="22117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178848"/>
        <c:crosses val="autoZero"/>
        <c:auto val="1"/>
        <c:lblAlgn val="ctr"/>
        <c:lblOffset val="100"/>
        <c:noMultiLvlLbl val="0"/>
      </c:catAx>
      <c:valAx>
        <c:axId val="22117884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117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9675619961571617"/>
          <c:y val="0.16615857936176945"/>
          <c:w val="0.69708563845371663"/>
          <c:h val="8.8171715355821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256</c:v>
                </c:pt>
                <c:pt idx="1">
                  <c:v>261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253</c:v>
                </c:pt>
                <c:pt idx="1">
                  <c:v>254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25</c:v>
                </c:pt>
                <c:pt idx="1">
                  <c:v>31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32815858904653E-2"/>
                  <c:y val="-3.2432531643309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267144491553939E-2"/>
                  <c:y val="-2.9526373719414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0.98828125</c:v>
                </c:pt>
                <c:pt idx="1">
                  <c:v>0.97318007662835249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943506133247623E-2"/>
                  <c:y val="3.1499453348069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301904569621105E-2"/>
                  <c:y val="8.6021505376343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17.786561264822137</c:v>
                </c:pt>
                <c:pt idx="1">
                  <c:v>21.968503937007874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1179632"/>
        <c:axId val="221180024"/>
        <c:axId val="0"/>
      </c:bar3DChart>
      <c:catAx>
        <c:axId val="221179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1180024"/>
        <c:crosses val="autoZero"/>
        <c:auto val="1"/>
        <c:lblAlgn val="ctr"/>
        <c:lblOffset val="100"/>
        <c:noMultiLvlLbl val="0"/>
      </c:catAx>
      <c:valAx>
        <c:axId val="221180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179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784193548512804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256</c:v>
                </c:pt>
                <c:pt idx="1">
                  <c:v>261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253</c:v>
                </c:pt>
                <c:pt idx="1">
                  <c:v>254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25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1180808"/>
        <c:axId val="2211812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1"/>
              <c:layout>
                <c:manualLayout>
                  <c:x val="-1.3764309501569425E-2"/>
                  <c:y val="7.633989285365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17.786561264822137</c:v>
                </c:pt>
                <c:pt idx="1">
                  <c:v>21.968503937007874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181592"/>
        <c:axId val="221181984"/>
      </c:lineChart>
      <c:catAx>
        <c:axId val="2211808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81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11812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80808"/>
        <c:crosses val="autoZero"/>
        <c:crossBetween val="between"/>
      </c:valAx>
      <c:catAx>
        <c:axId val="221181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1181984"/>
        <c:crosses val="autoZero"/>
        <c:auto val="0"/>
        <c:lblAlgn val="ctr"/>
        <c:lblOffset val="100"/>
        <c:noMultiLvlLbl val="0"/>
      </c:catAx>
      <c:valAx>
        <c:axId val="2211819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8159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0.98828125</c:v>
                </c:pt>
                <c:pt idx="1">
                  <c:v>0.97318007662835249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182768"/>
        <c:axId val="221183160"/>
      </c:lineChart>
      <c:catAx>
        <c:axId val="2211827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1183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1831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118276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3 luni  2019.xlsx]penale'!$D$241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2019.xlsx]penale'!$D$242:$D$244</c:f>
              <c:numCache>
                <c:formatCode>0.00%</c:formatCode>
                <c:ptCount val="3"/>
                <c:pt idx="0">
                  <c:v>0.85727699530516432</c:v>
                </c:pt>
                <c:pt idx="1">
                  <c:v>0</c:v>
                </c:pt>
                <c:pt idx="2">
                  <c:v>0.86301369863013699</c:v>
                </c:pt>
              </c:numCache>
            </c:numRef>
          </c:val>
        </c:ser>
        <c:ser>
          <c:idx val="1"/>
          <c:order val="1"/>
          <c:tx>
            <c:strRef>
              <c:f>'[Activitate 3 luni  2019.xlsx]penale'!$F$241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2019.xlsx]penale'!$F$242:$F$244</c:f>
              <c:numCache>
                <c:formatCode>0.00%</c:formatCode>
                <c:ptCount val="3"/>
                <c:pt idx="0">
                  <c:v>0.22562979189485213</c:v>
                </c:pt>
                <c:pt idx="1">
                  <c:v>0</c:v>
                </c:pt>
                <c:pt idx="2">
                  <c:v>0.3968253968253968</c:v>
                </c:pt>
              </c:numCache>
            </c:numRef>
          </c:val>
        </c:ser>
        <c:ser>
          <c:idx val="2"/>
          <c:order val="2"/>
          <c:tx>
            <c:strRef>
              <c:f>'[Activitate 3 luni  2019.xlsx]penale'!$H$241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926941626575713E-2"/>
                  <c:y val="-2.963914590605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2019.xlsx]penale'!$H$242:$H$244</c:f>
              <c:numCache>
                <c:formatCode>0.00%</c:formatCode>
                <c:ptCount val="3"/>
                <c:pt idx="0">
                  <c:v>0.35436893203883496</c:v>
                </c:pt>
                <c:pt idx="1">
                  <c:v>0.2</c:v>
                </c:pt>
                <c:pt idx="2">
                  <c:v>0.16</c:v>
                </c:pt>
              </c:numCache>
            </c:numRef>
          </c:val>
        </c:ser>
        <c:ser>
          <c:idx val="3"/>
          <c:order val="3"/>
          <c:tx>
            <c:strRef>
              <c:f>'[Activitate 3 luni  2019.xlsx]penale'!$J$241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2019.xlsx]penale'!$J$242:$J$244</c:f>
              <c:numCache>
                <c:formatCode>0.00%</c:formatCode>
                <c:ptCount val="3"/>
                <c:pt idx="0">
                  <c:v>0.64563106796116509</c:v>
                </c:pt>
                <c:pt idx="1">
                  <c:v>0.8</c:v>
                </c:pt>
                <c:pt idx="2">
                  <c:v>0.84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1183944"/>
        <c:axId val="221184336"/>
        <c:axId val="0"/>
      </c:bar3DChart>
      <c:catAx>
        <c:axId val="221183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184336"/>
        <c:crosses val="autoZero"/>
        <c:auto val="1"/>
        <c:lblAlgn val="r"/>
        <c:lblOffset val="100"/>
        <c:noMultiLvlLbl val="0"/>
      </c:catAx>
      <c:valAx>
        <c:axId val="22118433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1183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5958425677339528E-2"/>
          <c:y val="0.29025248398124298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88</c:v>
                </c:pt>
                <c:pt idx="1">
                  <c:v>86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78</c:v>
                </c:pt>
                <c:pt idx="1">
                  <c:v>84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804912941820485E-3"/>
                  <c:y val="-1.0810894521830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22</c:v>
                </c:pt>
                <c:pt idx="1">
                  <c:v>13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0.88636363636363635</c:v>
                </c:pt>
                <c:pt idx="1">
                  <c:v>0.97674418604651159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7927E-2"/>
                  <c:y val="2.048740008762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50.769230769230766</c:v>
                </c:pt>
                <c:pt idx="1">
                  <c:v>27.857142857142858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1185120"/>
        <c:axId val="221185512"/>
        <c:axId val="0"/>
      </c:bar3DChart>
      <c:catAx>
        <c:axId val="2211851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1185512"/>
        <c:crosses val="autoZero"/>
        <c:auto val="1"/>
        <c:lblAlgn val="ctr"/>
        <c:lblOffset val="100"/>
        <c:noMultiLvlLbl val="0"/>
      </c:catAx>
      <c:valAx>
        <c:axId val="221185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18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88</c:v>
                </c:pt>
                <c:pt idx="1">
                  <c:v>86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78</c:v>
                </c:pt>
                <c:pt idx="1">
                  <c:v>84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22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1186296"/>
        <c:axId val="22118668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50.769230769230766</c:v>
                </c:pt>
                <c:pt idx="1">
                  <c:v>27.857142857142858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187080"/>
        <c:axId val="221187472"/>
      </c:lineChart>
      <c:catAx>
        <c:axId val="2211862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866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118668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86296"/>
        <c:crosses val="autoZero"/>
        <c:crossBetween val="between"/>
      </c:valAx>
      <c:catAx>
        <c:axId val="221187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1187472"/>
        <c:crosses val="autoZero"/>
        <c:auto val="0"/>
        <c:lblAlgn val="ctr"/>
        <c:lblOffset val="100"/>
        <c:noMultiLvlLbl val="0"/>
      </c:catAx>
      <c:valAx>
        <c:axId val="2211874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8708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0.88636363636363635</c:v>
                </c:pt>
                <c:pt idx="1">
                  <c:v>0.97674418604651159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188256"/>
        <c:axId val="221188648"/>
      </c:lineChart>
      <c:catAx>
        <c:axId val="2211882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1188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1886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118825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3 luni  2019.xlsx]penale'!$D$162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2019.xlsx]penale'!$D$163:$D$165</c:f>
              <c:numCache>
                <c:formatCode>0.00%</c:formatCode>
                <c:ptCount val="3"/>
                <c:pt idx="0">
                  <c:v>0.57321652065081352</c:v>
                </c:pt>
                <c:pt idx="1">
                  <c:v>0.76158940397350994</c:v>
                </c:pt>
                <c:pt idx="2">
                  <c:v>0.86178861788617889</c:v>
                </c:pt>
              </c:numCache>
            </c:numRef>
          </c:val>
        </c:ser>
        <c:ser>
          <c:idx val="1"/>
          <c:order val="1"/>
          <c:tx>
            <c:strRef>
              <c:f>'[Activitate 3 luni  2019.xlsx]penale'!$F$162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2019.xlsx]penale'!$F$163:$F$165</c:f>
              <c:numCache>
                <c:formatCode>0.00%</c:formatCode>
                <c:ptCount val="3"/>
                <c:pt idx="0">
                  <c:v>0.12445414847161572</c:v>
                </c:pt>
                <c:pt idx="1">
                  <c:v>6.0869565217391307E-2</c:v>
                </c:pt>
                <c:pt idx="2">
                  <c:v>0.13207547169811321</c:v>
                </c:pt>
              </c:numCache>
            </c:numRef>
          </c:val>
        </c:ser>
        <c:ser>
          <c:idx val="2"/>
          <c:order val="2"/>
          <c:tx>
            <c:strRef>
              <c:f>'[Activitate 3 luni  2019.xlsx]penale'!$H$162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2019.xlsx]penale'!$H$163:$H$165</c:f>
              <c:numCache>
                <c:formatCode>0.00%</c:formatCode>
                <c:ptCount val="3"/>
                <c:pt idx="0">
                  <c:v>0.50877192982456143</c:v>
                </c:pt>
                <c:pt idx="1">
                  <c:v>0.5714285714285714</c:v>
                </c:pt>
                <c:pt idx="2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'[Activitate 3 luni  2019.xlsx]penale'!$J$162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2019.xlsx]penale'!$J$163:$J$165</c:f>
              <c:numCache>
                <c:formatCode>0.00%</c:formatCode>
                <c:ptCount val="3"/>
                <c:pt idx="0">
                  <c:v>0.49122807017543857</c:v>
                </c:pt>
                <c:pt idx="1">
                  <c:v>0.42857142857142855</c:v>
                </c:pt>
                <c:pt idx="2">
                  <c:v>0.5</c:v>
                </c:pt>
              </c:numCache>
            </c:numRef>
          </c:val>
        </c:ser>
        <c:ser>
          <c:idx val="4"/>
          <c:order val="4"/>
          <c:tx>
            <c:strRef>
              <c:f>'[Activitate 3 luni  2019.xlsx]penale'!$L$162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2019.xlsx]penale'!$L$163:$L$165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1189432"/>
        <c:axId val="221189824"/>
        <c:axId val="0"/>
      </c:bar3DChart>
      <c:catAx>
        <c:axId val="221189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189824"/>
        <c:crosses val="autoZero"/>
        <c:auto val="1"/>
        <c:lblAlgn val="ctr"/>
        <c:lblOffset val="100"/>
        <c:noMultiLvlLbl val="0"/>
      </c:catAx>
      <c:valAx>
        <c:axId val="22118982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1189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222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270</c:v>
                </c:pt>
                <c:pt idx="1">
                  <c:v>306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399</c:v>
                </c:pt>
                <c:pt idx="1">
                  <c:v>298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93</c:v>
                </c:pt>
                <c:pt idx="1">
                  <c:v>109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72750826304E-2"/>
                  <c:y val="-8.160209481178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70385824110614E-2"/>
                  <c:y val="-9.4883099661712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1.4777777777777779</c:v>
                </c:pt>
                <c:pt idx="1">
                  <c:v>0.97385620915032678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814326262093924E-2"/>
                  <c:y val="4.9169744346366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5055935880081673E-2"/>
                  <c:y val="2.048739347765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41.954887218045116</c:v>
                </c:pt>
                <c:pt idx="1">
                  <c:v>65.838926174496649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1190608"/>
        <c:axId val="221191000"/>
        <c:axId val="0"/>
      </c:bar3DChart>
      <c:catAx>
        <c:axId val="2211906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1191000"/>
        <c:crosses val="autoZero"/>
        <c:auto val="1"/>
        <c:lblAlgn val="ctr"/>
        <c:lblOffset val="100"/>
        <c:noMultiLvlLbl val="0"/>
      </c:catAx>
      <c:valAx>
        <c:axId val="221191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19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764</c:v>
                </c:pt>
                <c:pt idx="1">
                  <c:v>818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860</c:v>
                </c:pt>
                <c:pt idx="1">
                  <c:v>791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244</c:v>
                </c:pt>
                <c:pt idx="1">
                  <c:v>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176846992"/>
        <c:axId val="176852480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51.069767441860463</c:v>
                </c:pt>
                <c:pt idx="1">
                  <c:v>57.345132743362832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850128"/>
        <c:axId val="176850912"/>
      </c:lineChart>
      <c:catAx>
        <c:axId val="176846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76852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685248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76846992"/>
        <c:crosses val="autoZero"/>
        <c:crossBetween val="between"/>
      </c:valAx>
      <c:catAx>
        <c:axId val="176850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850912"/>
        <c:crosses val="autoZero"/>
        <c:auto val="0"/>
        <c:lblAlgn val="ctr"/>
        <c:lblOffset val="100"/>
        <c:noMultiLvlLbl val="0"/>
      </c:catAx>
      <c:valAx>
        <c:axId val="17685091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7685012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270</c:v>
                </c:pt>
                <c:pt idx="1">
                  <c:v>306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399</c:v>
                </c:pt>
                <c:pt idx="1">
                  <c:v>298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93</c:v>
                </c:pt>
                <c:pt idx="1">
                  <c:v>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4443080"/>
        <c:axId val="22444347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41.954887218045116</c:v>
                </c:pt>
                <c:pt idx="1">
                  <c:v>65.838926174496649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443080"/>
        <c:axId val="224443472"/>
      </c:lineChart>
      <c:catAx>
        <c:axId val="224443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43472"/>
        <c:crosses val="autoZero"/>
        <c:auto val="0"/>
        <c:lblAlgn val="ctr"/>
        <c:lblOffset val="100"/>
        <c:noMultiLvlLbl val="0"/>
      </c:catAx>
      <c:valAx>
        <c:axId val="22444347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4308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1.4777777777777779</c:v>
                </c:pt>
                <c:pt idx="1">
                  <c:v>0.97385620915032678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61889114524E-2"/>
                  <c:y val="-6.086766854974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44256"/>
        <c:axId val="224444648"/>
      </c:lineChart>
      <c:catAx>
        <c:axId val="2244442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44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44446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4425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78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190</c:v>
                </c:pt>
                <c:pt idx="1">
                  <c:v>210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211</c:v>
                </c:pt>
                <c:pt idx="1">
                  <c:v>205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57</c:v>
                </c:pt>
                <c:pt idx="1">
                  <c:v>75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16877465342138E-2"/>
                  <c:y val="-0.106187418029415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23754034801074E-2"/>
                  <c:y val="-0.144053029019805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1.1105263157894736</c:v>
                </c:pt>
                <c:pt idx="1">
                  <c:v>0.97619047619047616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801E-2"/>
                  <c:y val="5.3267257413779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7308136837744895E-2"/>
                  <c:y val="6.5560013357273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48.625592417061611</c:v>
                </c:pt>
                <c:pt idx="1">
                  <c:v>65.853658536585371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445432"/>
        <c:axId val="224445824"/>
        <c:axId val="0"/>
      </c:bar3DChart>
      <c:catAx>
        <c:axId val="224445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4445824"/>
        <c:crosses val="autoZero"/>
        <c:auto val="1"/>
        <c:lblAlgn val="ctr"/>
        <c:lblOffset val="100"/>
        <c:noMultiLvlLbl val="0"/>
      </c:catAx>
      <c:valAx>
        <c:axId val="224445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445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190</c:v>
                </c:pt>
                <c:pt idx="1">
                  <c:v>210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211</c:v>
                </c:pt>
                <c:pt idx="1">
                  <c:v>205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57</c:v>
                </c:pt>
                <c:pt idx="1">
                  <c:v>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4446608"/>
        <c:axId val="224447000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48.625592417061611</c:v>
                </c:pt>
                <c:pt idx="1">
                  <c:v>65.853658536585371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46608"/>
        <c:axId val="224447000"/>
      </c:lineChart>
      <c:catAx>
        <c:axId val="2244466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47000"/>
        <c:crosses val="autoZero"/>
        <c:auto val="0"/>
        <c:lblAlgn val="ctr"/>
        <c:lblOffset val="100"/>
        <c:noMultiLvlLbl val="0"/>
      </c:catAx>
      <c:valAx>
        <c:axId val="2244470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4660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1.1105263157894736</c:v>
                </c:pt>
                <c:pt idx="1">
                  <c:v>0.97619047619047616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47784"/>
        <c:axId val="224448176"/>
      </c:lineChart>
      <c:catAx>
        <c:axId val="2244477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48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444817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4778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o-RO" sz="1600" b="1" i="0" u="none" strike="noStrike" cap="all" normalizeH="0" baseline="0">
                <a:effectLst/>
              </a:rPr>
              <a:t>TOTAL </a:t>
            </a:r>
            <a:r>
              <a:rPr lang="en-US" sz="1600" b="1" i="0" u="none" strike="noStrike" cap="all" normalizeH="0" baseline="0">
                <a:effectLst/>
              </a:rPr>
              <a:t>Cauze civile (2a, 2r, 2rh)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2018 - копия.xlsx]civile'!$D$81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копия.xlsx]civile'!$A$82:$A$84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копия.xlsx]civile'!$D$82:$D$84</c:f>
              <c:numCache>
                <c:formatCode>0.00%</c:formatCode>
                <c:ptCount val="3"/>
                <c:pt idx="0">
                  <c:v>0.61832412523020253</c:v>
                </c:pt>
                <c:pt idx="1">
                  <c:v>0.69934640522875813</c:v>
                </c:pt>
                <c:pt idx="2">
                  <c:v>0.74639769452449567</c:v>
                </c:pt>
              </c:numCache>
            </c:numRef>
          </c:val>
        </c:ser>
        <c:ser>
          <c:idx val="1"/>
          <c:order val="1"/>
          <c:tx>
            <c:strRef>
              <c:f>'[Activitate 12 luni  2018 - копия.xlsx]civile'!$F$81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копия.xlsx]civile'!$A$82:$A$84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копия.xlsx]civile'!$F$82:$F$84</c:f>
              <c:numCache>
                <c:formatCode>0.00%</c:formatCode>
                <c:ptCount val="3"/>
                <c:pt idx="0">
                  <c:v>8.8607594936708861E-2</c:v>
                </c:pt>
                <c:pt idx="1">
                  <c:v>4.6728971962616821E-2</c:v>
                </c:pt>
                <c:pt idx="2">
                  <c:v>5.019305019305019E-2</c:v>
                </c:pt>
              </c:numCache>
            </c:numRef>
          </c:val>
        </c:ser>
        <c:ser>
          <c:idx val="2"/>
          <c:order val="2"/>
          <c:tx>
            <c:strRef>
              <c:f>'[Activitate 12 luni  2018 - копия.xlsx]civile'!$H$81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копия.xlsx]civile'!$A$82:$A$84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копия.xlsx]civile'!$H$82:$H$84</c:f>
              <c:numCache>
                <c:formatCode>0.00%</c:formatCode>
                <c:ptCount val="3"/>
                <c:pt idx="0">
                  <c:v>0.52941176470588236</c:v>
                </c:pt>
                <c:pt idx="1">
                  <c:v>0.6</c:v>
                </c:pt>
                <c:pt idx="2">
                  <c:v>0.53846153846153844</c:v>
                </c:pt>
              </c:numCache>
            </c:numRef>
          </c:val>
        </c:ser>
        <c:ser>
          <c:idx val="3"/>
          <c:order val="3"/>
          <c:tx>
            <c:strRef>
              <c:f>'[Activitate 12 luni  2018 - копия.xlsx]civile'!$J$81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копия.xlsx]civile'!$A$82:$A$84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копия.xlsx]civile'!$J$82:$J$84</c:f>
              <c:numCache>
                <c:formatCode>0.00%</c:formatCode>
                <c:ptCount val="3"/>
                <c:pt idx="0">
                  <c:v>0.47058823529411764</c:v>
                </c:pt>
                <c:pt idx="1">
                  <c:v>0.4</c:v>
                </c:pt>
                <c:pt idx="2">
                  <c:v>0.46153846153846156</c:v>
                </c:pt>
              </c:numCache>
            </c:numRef>
          </c:val>
        </c:ser>
        <c:ser>
          <c:idx val="4"/>
          <c:order val="4"/>
          <c:tx>
            <c:strRef>
              <c:f>'[Activitate 12 luni  2018 - копия.xlsx]civile'!$L$81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копия.xlsx]civile'!$A$82:$A$84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копия.xlsx]civile'!$L$82:$L$84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4448960"/>
        <c:axId val="224449352"/>
        <c:axId val="0"/>
      </c:bar3DChart>
      <c:catAx>
        <c:axId val="22444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449352"/>
        <c:crosses val="autoZero"/>
        <c:auto val="1"/>
        <c:lblAlgn val="ctr"/>
        <c:lblOffset val="100"/>
        <c:noMultiLvlLbl val="0"/>
      </c:catAx>
      <c:valAx>
        <c:axId val="22444935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444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9657594170591683E-2"/>
          <c:y val="8.6390529308836395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cepej.xlsx]Лист1'!$B$236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cepej.xlsx]Лист1'!$B$237:$B$238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cepej.xlsx]Лист1'!$C$236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cepej.xlsx]Лист1'!$C$237:$C$238</c:f>
              <c:numCache>
                <c:formatCode>General</c:formatCode>
                <c:ptCount val="2"/>
                <c:pt idx="0">
                  <c:v>29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cepej.xlsx]Лист1'!$D$236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cepej.xlsx]Лист1'!$D$237:$D$238</c:f>
              <c:numCache>
                <c:formatCode>General</c:formatCode>
                <c:ptCount val="2"/>
                <c:pt idx="0">
                  <c:v>34</c:v>
                </c:pt>
                <c:pt idx="1">
                  <c:v>46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cepej.xlsx]Лист1'!$E$236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cepej.xlsx]Лист1'!$E$237:$E$238</c:f>
              <c:numCache>
                <c:formatCode>General</c:formatCode>
                <c:ptCount val="2"/>
                <c:pt idx="0">
                  <c:v>14</c:v>
                </c:pt>
                <c:pt idx="1">
                  <c:v>10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cepej.xlsx]Лист1'!$F$236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cepej.xlsx]Лист1'!$F$237:$F$238</c:f>
              <c:numCache>
                <c:formatCode>0.00%</c:formatCode>
                <c:ptCount val="2"/>
                <c:pt idx="0">
                  <c:v>1.1724137931034482</c:v>
                </c:pt>
                <c:pt idx="1">
                  <c:v>1.1499999999999999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cepej.xlsx]Лист1'!$G$236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cepej.xlsx]Лист1'!$G$237:$G$238</c:f>
              <c:numCache>
                <c:formatCode>0</c:formatCode>
                <c:ptCount val="2"/>
                <c:pt idx="0">
                  <c:v>74.117647058823536</c:v>
                </c:pt>
                <c:pt idx="1">
                  <c:v>39.130434782608695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450136"/>
        <c:axId val="224450528"/>
        <c:axId val="0"/>
      </c:bar3DChart>
      <c:catAx>
        <c:axId val="2244501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4450528"/>
        <c:crosses val="autoZero"/>
        <c:auto val="1"/>
        <c:lblAlgn val="ctr"/>
        <c:lblOffset val="100"/>
        <c:noMultiLvlLbl val="0"/>
      </c:catAx>
      <c:valAx>
        <c:axId val="22445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450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cepej.xlsx]Лист1'!$A$250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cepej.xlsx]Лист1'!$B$250:$C$250</c:f>
              <c:numCache>
                <c:formatCode>#\ ##0;\(#\ ##0\)</c:formatCode>
                <c:ptCount val="2"/>
                <c:pt idx="0">
                  <c:v>29</c:v>
                </c:pt>
                <c:pt idx="1">
                  <c:v>40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cepej.xlsx]Лист1'!$A$251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5730639430365057E-2"/>
                  <c:y val="4.1595444021539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cepej.xlsx]Лист1'!$B$251:$C$251</c:f>
              <c:numCache>
                <c:formatCode>#\ ##0;\(#\ ##0\)</c:formatCode>
                <c:ptCount val="2"/>
                <c:pt idx="0">
                  <c:v>34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cepej.xlsx]Лист1'!$A$252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cepej.xlsx]Лист1'!$B$252:$C$252</c:f>
              <c:numCache>
                <c:formatCode>General</c:formatCode>
                <c:ptCount val="2"/>
                <c:pt idx="0">
                  <c:v>14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4451704"/>
        <c:axId val="22445209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cepej.xlsx]Лист1'!$A$254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cepej.xlsx]Лист1'!$B$254:$C$254</c:f>
              <c:numCache>
                <c:formatCode>###0</c:formatCode>
                <c:ptCount val="2"/>
                <c:pt idx="0">
                  <c:v>74.117647058823536</c:v>
                </c:pt>
                <c:pt idx="1">
                  <c:v>39.130434782608695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51704"/>
        <c:axId val="224452096"/>
      </c:lineChart>
      <c:catAx>
        <c:axId val="2244517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52096"/>
        <c:crosses val="autoZero"/>
        <c:auto val="0"/>
        <c:lblAlgn val="ctr"/>
        <c:lblOffset val="100"/>
        <c:noMultiLvlLbl val="0"/>
      </c:catAx>
      <c:valAx>
        <c:axId val="2244520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5170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cepej.xlsx]Лист1'!$A$253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cepej.xlsx]Лист1'!$B$253:$C$253</c:f>
              <c:numCache>
                <c:formatCode>0%</c:formatCode>
                <c:ptCount val="2"/>
                <c:pt idx="0">
                  <c:v>1.1724137931034482</c:v>
                </c:pt>
                <c:pt idx="1">
                  <c:v>1.1499999999999999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cepej.xlsx]Лист1'!$A$255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cepej.xlsx]Лист1'!$B$255:$C$255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52880"/>
        <c:axId val="224453272"/>
      </c:lineChart>
      <c:catAx>
        <c:axId val="2244528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53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44532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528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Total cauze economice(2ac, 2rc)</a:t>
            </a: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2018 - копия.xlsx]civile'!$D$142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копия.xlsx]civile'!$D$143:$D$145</c:f>
              <c:numCache>
                <c:formatCode>0.00%</c:formatCode>
                <c:ptCount val="3"/>
                <c:pt idx="0">
                  <c:v>0.73688592839300582</c:v>
                </c:pt>
                <c:pt idx="1">
                  <c:v>0.65580985915492962</c:v>
                </c:pt>
                <c:pt idx="2">
                  <c:v>0.74567474048442905</c:v>
                </c:pt>
              </c:numCache>
            </c:numRef>
          </c:val>
        </c:ser>
        <c:ser>
          <c:idx val="1"/>
          <c:order val="1"/>
          <c:tx>
            <c:strRef>
              <c:f>'[Activitate 12 luni  2018 - копия.xlsx]civile'!$F$142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14610673665716E-2"/>
                  <c:y val="1.286534845442020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копия.xlsx]civile'!$F$143:$F$145</c:f>
              <c:numCache>
                <c:formatCode>0.00%</c:formatCode>
                <c:ptCount val="3"/>
                <c:pt idx="0">
                  <c:v>0.61702127659574468</c:v>
                </c:pt>
                <c:pt idx="1">
                  <c:v>0</c:v>
                </c:pt>
                <c:pt idx="2">
                  <c:v>0.2</c:v>
                </c:pt>
              </c:numCache>
            </c:numRef>
          </c:val>
        </c:ser>
        <c:ser>
          <c:idx val="2"/>
          <c:order val="2"/>
          <c:tx>
            <c:strRef>
              <c:f>'[Activitate 12 luni  2018 - копия.xlsx]civile'!$H$142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666564935046E-2"/>
                  <c:y val="6.2736013261500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159326207806021E-2"/>
                  <c:y val="-4.486528189910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копия.xlsx]civile'!$H$143:$H$145</c:f>
              <c:numCache>
                <c:formatCode>0.00%</c:formatCode>
                <c:ptCount val="3"/>
                <c:pt idx="0">
                  <c:v>0.48275862068965519</c:v>
                </c:pt>
                <c:pt idx="1">
                  <c:v>0</c:v>
                </c:pt>
                <c:pt idx="2">
                  <c:v>0.66666666666666663</c:v>
                </c:pt>
              </c:numCache>
            </c:numRef>
          </c:val>
        </c:ser>
        <c:ser>
          <c:idx val="3"/>
          <c:order val="3"/>
          <c:tx>
            <c:strRef>
              <c:f>'[Activitate 12 luni  2018 - копия.xlsx]civile'!$J$142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6935074976093106E-2"/>
                  <c:y val="-4.2105263157894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138825324180014E-3"/>
                  <c:y val="5.3490238031558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копия.xlsx]civile'!$J$143:$J$145</c:f>
              <c:numCache>
                <c:formatCode>0.00%</c:formatCode>
                <c:ptCount val="3"/>
                <c:pt idx="0">
                  <c:v>0.51724137931034486</c:v>
                </c:pt>
                <c:pt idx="1">
                  <c:v>0</c:v>
                </c:pt>
                <c:pt idx="2">
                  <c:v>0.33333333333333331</c:v>
                </c:pt>
              </c:numCache>
            </c:numRef>
          </c:val>
        </c:ser>
        <c:ser>
          <c:idx val="4"/>
          <c:order val="4"/>
          <c:tx>
            <c:strRef>
              <c:f>'[Activitate 12 luni  2018 - копия.xlsx]civile'!$L$142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7208237986270021E-3"/>
                  <c:y val="-3.2094142818935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1038596919571098E-2"/>
                  <c:y val="-7.4371045724547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5347063310450043E-3"/>
                  <c:y val="-2.6745119015779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копия.xlsx]civile'!$A$143:$A$145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копия.xlsx]civile'!$L$143:$L$145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4454056"/>
        <c:axId val="224454448"/>
        <c:axId val="0"/>
      </c:bar3DChart>
      <c:catAx>
        <c:axId val="224454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454448"/>
        <c:crosses val="autoZero"/>
        <c:auto val="1"/>
        <c:lblAlgn val="ctr"/>
        <c:lblOffset val="100"/>
        <c:noMultiLvlLbl val="0"/>
      </c:catAx>
      <c:valAx>
        <c:axId val="22445444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4454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1.12565445026178</c:v>
                </c:pt>
                <c:pt idx="1">
                  <c:v>0.9669926650366748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6851304"/>
        <c:axId val="176851696"/>
      </c:lineChart>
      <c:catAx>
        <c:axId val="1768513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6851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85169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68513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cepej.xlsx]Лист1'!$B$266:$B$267</c:f>
              <c:numCache>
                <c:formatCode>General</c:formatCode>
                <c:ptCount val="2"/>
                <c:pt idx="0">
                  <c:v>23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cepej.xlsx]Лист1'!$C$266:$C$267</c:f>
              <c:numCache>
                <c:formatCode>General</c:formatCode>
                <c:ptCount val="2"/>
                <c:pt idx="0">
                  <c:v>49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cepej.xlsx]Лист1'!$D$266:$D$267</c:f>
              <c:numCache>
                <c:formatCode>General</c:formatCode>
                <c:ptCount val="2"/>
                <c:pt idx="0">
                  <c:v>50</c:v>
                </c:pt>
                <c:pt idx="1">
                  <c:v>47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cepej.xlsx]Лист1'!$E$266:$E$267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6075703024448661E-2"/>
                  <c:y val="-3.7517805664580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cepej.xlsx]Лист1'!$F$266:$F$267</c:f>
              <c:numCache>
                <c:formatCode>0.00%</c:formatCode>
                <c:ptCount val="2"/>
                <c:pt idx="0">
                  <c:v>1.0204081632653061</c:v>
                </c:pt>
                <c:pt idx="1">
                  <c:v>0.8392857142857143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cepej.xlsx]Лист1'!$G$266:$G$267</c:f>
              <c:numCache>
                <c:formatCode>0</c:formatCode>
                <c:ptCount val="2"/>
                <c:pt idx="0">
                  <c:v>79.199999999999989</c:v>
                </c:pt>
                <c:pt idx="1">
                  <c:v>91.914893617021278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455232"/>
        <c:axId val="224455624"/>
        <c:axId val="0"/>
      </c:bar3DChart>
      <c:catAx>
        <c:axId val="2244552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4455624"/>
        <c:crosses val="autoZero"/>
        <c:auto val="1"/>
        <c:lblAlgn val="ctr"/>
        <c:lblOffset val="100"/>
        <c:noMultiLvlLbl val="0"/>
      </c:catAx>
      <c:valAx>
        <c:axId val="224455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455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cepej.xlsx]Лист1'!$B$279:$C$279</c:f>
              <c:numCache>
                <c:formatCode>#\ ##0;\(#\ ##0\)</c:formatCode>
                <c:ptCount val="2"/>
                <c:pt idx="0">
                  <c:v>49</c:v>
                </c:pt>
                <c:pt idx="1">
                  <c:v>56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cepej.xlsx]Лист1'!$B$280:$C$280</c:f>
              <c:numCache>
                <c:formatCode>#\ ##0;\(#\ ##0\)</c:formatCode>
                <c:ptCount val="2"/>
                <c:pt idx="0">
                  <c:v>50</c:v>
                </c:pt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cepej.xlsx]Лист1'!$B$281:$C$281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4456408"/>
        <c:axId val="224456800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cepej.xlsx]Лист1'!$B$283:$C$283</c:f>
              <c:numCache>
                <c:formatCode>###0</c:formatCode>
                <c:ptCount val="2"/>
                <c:pt idx="0">
                  <c:v>79.199999999999989</c:v>
                </c:pt>
                <c:pt idx="1">
                  <c:v>91.914893617021278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56408"/>
        <c:axId val="224456800"/>
      </c:lineChart>
      <c:catAx>
        <c:axId val="224456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56800"/>
        <c:crosses val="autoZero"/>
        <c:auto val="0"/>
        <c:lblAlgn val="ctr"/>
        <c:lblOffset val="100"/>
        <c:noMultiLvlLbl val="0"/>
      </c:catAx>
      <c:valAx>
        <c:axId val="2244568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445640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cepej.xlsx]Лист1'!$B$282:$C$282</c:f>
              <c:numCache>
                <c:formatCode>0%</c:formatCode>
                <c:ptCount val="2"/>
                <c:pt idx="0">
                  <c:v>1.0204081632653061</c:v>
                </c:pt>
                <c:pt idx="1">
                  <c:v>0.8392857142857143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457584"/>
        <c:axId val="224457976"/>
      </c:lineChart>
      <c:catAx>
        <c:axId val="2244575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57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445797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445758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u="none" strike="noStrike" cap="all" normalizeH="0" baseline="0">
                <a:effectLst/>
              </a:rPr>
              <a:t>cauze în contencios administrativ(3a,3r,3rh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30486176886339161"/>
          <c:y val="1.967213453330485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3 luni  2019.xlsx]civile'!$D$79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2019.xlsx]civile'!$D$80:$D$82</c:f>
              <c:numCache>
                <c:formatCode>0.00%</c:formatCode>
                <c:ptCount val="3"/>
                <c:pt idx="0">
                  <c:v>0.68</c:v>
                </c:pt>
                <c:pt idx="1">
                  <c:v>0.94736842105263153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'[Activitate 3 luni  2019.xlsx]civile'!$F$79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2019.xlsx]civile'!$F$80:$F$82</c:f>
              <c:numCache>
                <c:formatCode>0.00%</c:formatCode>
                <c:ptCount val="3"/>
                <c:pt idx="0">
                  <c:v>0.17647058823529413</c:v>
                </c:pt>
                <c:pt idx="1">
                  <c:v>0.22222222222222221</c:v>
                </c:pt>
                <c:pt idx="2">
                  <c:v>0.18181818181818182</c:v>
                </c:pt>
              </c:numCache>
            </c:numRef>
          </c:val>
        </c:ser>
        <c:ser>
          <c:idx val="2"/>
          <c:order val="2"/>
          <c:tx>
            <c:strRef>
              <c:f>'[Activitate 3 luni  2019.xlsx]civile'!$H$79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2019.xlsx]civile'!$H$80:$H$82</c:f>
              <c:numCache>
                <c:formatCode>0.00%</c:formatCode>
                <c:ptCount val="3"/>
                <c:pt idx="0">
                  <c:v>0.46666666666666667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'[Activitate 3 luni  2019.xlsx]civile'!$J$79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2019.xlsx]civile'!$J$80:$J$82</c:f>
              <c:numCache>
                <c:formatCode>0.00%</c:formatCode>
                <c:ptCount val="3"/>
                <c:pt idx="0">
                  <c:v>0.53333333333333333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4"/>
          <c:order val="4"/>
          <c:tx>
            <c:strRef>
              <c:f>'[Activitate 3 luni  2019.xlsx]civile'!$L$79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575344443861697E-2"/>
                  <c:y val="-3.715847634068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101414640156585E-3"/>
                  <c:y val="-3.401994322479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 2019.xlsx]civile'!$L$80:$L$82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4458368"/>
        <c:axId val="225242744"/>
        <c:axId val="0"/>
      </c:bar3DChart>
      <c:catAx>
        <c:axId val="22445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5242744"/>
        <c:crosses val="autoZero"/>
        <c:auto val="1"/>
        <c:lblAlgn val="ctr"/>
        <c:lblOffset val="100"/>
        <c:noMultiLvlLbl val="0"/>
      </c:catAx>
      <c:valAx>
        <c:axId val="22524274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445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8011621870400755E-2"/>
          <c:y val="8.0592989725233849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106</c:v>
                </c:pt>
                <c:pt idx="1">
                  <c:v>113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406</c:v>
                </c:pt>
                <c:pt idx="1">
                  <c:v>426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383</c:v>
                </c:pt>
                <c:pt idx="1">
                  <c:v>409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129</c:v>
                </c:pt>
                <c:pt idx="1">
                  <c:v>130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98100011874E-2"/>
                  <c:y val="-4.119607381081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0.94334975369458129</c:v>
                </c:pt>
                <c:pt idx="1">
                  <c:v>0.960093896713615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23158980112182E-2"/>
                  <c:y val="1.75270142006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60.626631853785902</c:v>
                </c:pt>
                <c:pt idx="1">
                  <c:v>57.212713936430319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6852088"/>
        <c:axId val="176848952"/>
        <c:axId val="0"/>
      </c:bar3DChart>
      <c:catAx>
        <c:axId val="176852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6848952"/>
        <c:crosses val="autoZero"/>
        <c:auto val="1"/>
        <c:lblAlgn val="ctr"/>
        <c:lblOffset val="100"/>
        <c:noMultiLvlLbl val="0"/>
      </c:catAx>
      <c:valAx>
        <c:axId val="176848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852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7.2097931174386566E-17"/>
                  <c:y val="-2.2901967856096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406</c:v>
                </c:pt>
                <c:pt idx="1">
                  <c:v>426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3764309501569425E-2"/>
                  <c:y val="-4.1986941069509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663299287954882E-3"/>
                  <c:y val="3.8169946426827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383</c:v>
                </c:pt>
                <c:pt idx="1">
                  <c:v>409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129</c:v>
                </c:pt>
                <c:pt idx="1">
                  <c:v>130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3832120"/>
        <c:axId val="1383329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2.1629629216751954E-2"/>
                  <c:y val="-1.908497321341358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60.626631853785902</c:v>
                </c:pt>
                <c:pt idx="1">
                  <c:v>57.212713936430319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832904"/>
        <c:axId val="13832512"/>
      </c:lineChart>
      <c:catAx>
        <c:axId val="138321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833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8332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832120"/>
        <c:crosses val="autoZero"/>
        <c:crossBetween val="between"/>
      </c:valAx>
      <c:catAx>
        <c:axId val="13832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832512"/>
        <c:crosses val="autoZero"/>
        <c:auto val="0"/>
        <c:lblAlgn val="ctr"/>
        <c:lblOffset val="100"/>
        <c:noMultiLvlLbl val="0"/>
      </c:catAx>
      <c:valAx>
        <c:axId val="1383251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8329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0.94334975369458129</c:v>
                </c:pt>
                <c:pt idx="1">
                  <c:v>0.960093896713615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5561616"/>
        <c:axId val="195558480"/>
      </c:lineChart>
      <c:catAx>
        <c:axId val="1955616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5558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555848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556161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84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150</c:v>
                </c:pt>
                <c:pt idx="1">
                  <c:v>165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130</c:v>
                </c:pt>
                <c:pt idx="1">
                  <c:v>155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104</c:v>
                </c:pt>
                <c:pt idx="1">
                  <c:v>99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0.8666666666666667</c:v>
                </c:pt>
                <c:pt idx="1">
                  <c:v>0.93939393939393945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144</c:v>
                </c:pt>
                <c:pt idx="1">
                  <c:v>114.96774193548386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5559264"/>
        <c:axId val="195560048"/>
        <c:axId val="0"/>
      </c:bar3DChart>
      <c:catAx>
        <c:axId val="1955592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5560048"/>
        <c:crosses val="autoZero"/>
        <c:auto val="1"/>
        <c:lblAlgn val="ctr"/>
        <c:lblOffset val="100"/>
        <c:noMultiLvlLbl val="0"/>
      </c:catAx>
      <c:valAx>
        <c:axId val="19556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559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150</c:v>
                </c:pt>
                <c:pt idx="1">
                  <c:v>165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130</c:v>
                </c:pt>
                <c:pt idx="1">
                  <c:v>155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104</c:v>
                </c:pt>
                <c:pt idx="1">
                  <c:v>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1175320"/>
        <c:axId val="22117571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144</c:v>
                </c:pt>
                <c:pt idx="1">
                  <c:v>114.96774193548386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176104"/>
        <c:axId val="221176496"/>
      </c:lineChart>
      <c:catAx>
        <c:axId val="2211753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757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11757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75320"/>
        <c:crosses val="autoZero"/>
        <c:crossBetween val="between"/>
      </c:valAx>
      <c:catAx>
        <c:axId val="221176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1176496"/>
        <c:crosses val="autoZero"/>
        <c:auto val="0"/>
        <c:lblAlgn val="ctr"/>
        <c:lblOffset val="100"/>
        <c:noMultiLvlLbl val="0"/>
      </c:catAx>
      <c:valAx>
        <c:axId val="22117649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11761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0.8666666666666667</c:v>
                </c:pt>
                <c:pt idx="1">
                  <c:v>0.93939393939393945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6 luni 2018</c:v>
                </c:pt>
                <c:pt idx="1">
                  <c:v>6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177280"/>
        <c:axId val="221177672"/>
      </c:lineChart>
      <c:catAx>
        <c:axId val="2211772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1177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1776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11772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35DA-125F-4332-9731-1F4E081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11346</TotalTime>
  <Pages>26</Pages>
  <Words>4792</Words>
  <Characters>27321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OleseaGoldur</cp:lastModifiedBy>
  <cp:revision>254</cp:revision>
  <cp:lastPrinted>2019-07-11T09:21:00Z</cp:lastPrinted>
  <dcterms:created xsi:type="dcterms:W3CDTF">2016-04-13T09:51:00Z</dcterms:created>
  <dcterms:modified xsi:type="dcterms:W3CDTF">2019-07-12T12:23:00Z</dcterms:modified>
</cp:coreProperties>
</file>